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0A173" w14:textId="77777777" w:rsidR="005104D8" w:rsidRDefault="005104D8">
      <w:pPr>
        <w:spacing w:before="3000"/>
      </w:pPr>
    </w:p>
    <w:p w14:paraId="2E4E886D" w14:textId="77777777" w:rsidR="005104D8" w:rsidRDefault="00FB0300">
      <w:pPr>
        <w:spacing w:after="200"/>
        <w:jc w:val="center"/>
      </w:pPr>
      <w:r>
        <w:rPr>
          <w:b/>
          <w:bCs/>
          <w:color w:val="1F4E79"/>
          <w:sz w:val="56"/>
          <w:szCs w:val="56"/>
        </w:rPr>
        <w:t>‘Sure Start’ for Teenagers</w:t>
      </w:r>
    </w:p>
    <w:p w14:paraId="15D49AA9" w14:textId="77777777" w:rsidR="005104D8" w:rsidRDefault="00FB0300">
      <w:pPr>
        <w:spacing w:after="400"/>
        <w:jc w:val="center"/>
      </w:pPr>
      <w:r>
        <w:rPr>
          <w:b/>
          <w:bCs/>
          <w:color w:val="1F4E79"/>
          <w:sz w:val="40"/>
          <w:szCs w:val="40"/>
        </w:rPr>
        <w:t>in a Digital Age</w:t>
      </w:r>
    </w:p>
    <w:p w14:paraId="183E0FCD" w14:textId="77777777" w:rsidR="005104D8" w:rsidRDefault="00FB0300">
      <w:pPr>
        <w:spacing w:after="120"/>
        <w:jc w:val="center"/>
      </w:pPr>
      <w:r>
        <w:rPr>
          <w:color w:val="333333"/>
          <w:sz w:val="24"/>
          <w:szCs w:val="24"/>
        </w:rPr>
        <w:t>An Exemplar Community Plan for Adolescent</w:t>
      </w:r>
    </w:p>
    <w:p w14:paraId="1FF0ED1D" w14:textId="77777777" w:rsidR="005104D8" w:rsidRDefault="00FB0300">
      <w:pPr>
        <w:spacing w:after="400"/>
        <w:jc w:val="center"/>
      </w:pPr>
      <w:r>
        <w:rPr>
          <w:color w:val="333333"/>
          <w:sz w:val="24"/>
          <w:szCs w:val="24"/>
        </w:rPr>
        <w:t>Health and Transition</w:t>
      </w:r>
    </w:p>
    <w:p w14:paraId="78C52981" w14:textId="77777777" w:rsidR="005104D8" w:rsidRDefault="00FB0300">
      <w:pPr>
        <w:spacing w:after="600"/>
        <w:jc w:val="center"/>
      </w:pPr>
      <w:proofErr w:type="gramStart"/>
      <w:r>
        <w:rPr>
          <w:b/>
          <w:bCs/>
          <w:color w:val="1F4E79"/>
          <w:sz w:val="28"/>
          <w:szCs w:val="28"/>
        </w:rPr>
        <w:t>People  ·</w:t>
      </w:r>
      <w:proofErr w:type="gramEnd"/>
      <w:r>
        <w:rPr>
          <w:b/>
          <w:bCs/>
          <w:color w:val="1F4E79"/>
          <w:sz w:val="28"/>
          <w:szCs w:val="28"/>
        </w:rPr>
        <w:t xml:space="preserve">  </w:t>
      </w:r>
      <w:proofErr w:type="gramStart"/>
      <w:r>
        <w:rPr>
          <w:b/>
          <w:bCs/>
          <w:color w:val="1F4E79"/>
          <w:sz w:val="28"/>
          <w:szCs w:val="28"/>
        </w:rPr>
        <w:t>Places  ·</w:t>
      </w:r>
      <w:proofErr w:type="gramEnd"/>
      <w:r>
        <w:rPr>
          <w:b/>
          <w:bCs/>
          <w:color w:val="1F4E79"/>
          <w:sz w:val="28"/>
          <w:szCs w:val="28"/>
        </w:rPr>
        <w:t xml:space="preserve">  Digital</w:t>
      </w: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5104D8" w14:paraId="560F1B2B" w14:textId="77777777">
        <w:tc>
          <w:tcPr>
            <w:tcW w:w="9026" w:type="dxa"/>
            <w:tcBorders>
              <w:top w:val="single" w:sz="6" w:space="0" w:color="C00000"/>
              <w:left w:val="single" w:sz="6" w:space="0" w:color="C00000"/>
              <w:bottom w:val="single" w:sz="6" w:space="0" w:color="C00000"/>
              <w:right w:val="single" w:sz="6" w:space="0" w:color="C00000"/>
            </w:tcBorders>
            <w:shd w:val="clear" w:color="auto" w:fill="FFF2F2"/>
            <w:tcMar>
              <w:top w:w="160" w:type="dxa"/>
              <w:left w:w="200" w:type="dxa"/>
              <w:bottom w:w="160" w:type="dxa"/>
              <w:right w:w="200" w:type="dxa"/>
            </w:tcMar>
          </w:tcPr>
          <w:p w14:paraId="3ED62E01" w14:textId="77777777" w:rsidR="005104D8" w:rsidRDefault="00FB0300">
            <w:pPr>
              <w:spacing w:after="120"/>
              <w:jc w:val="center"/>
            </w:pPr>
            <w:r>
              <w:rPr>
                <w:b/>
                <w:bCs/>
                <w:color w:val="C00000"/>
                <w:sz w:val="24"/>
                <w:szCs w:val="24"/>
              </w:rPr>
              <w:t>IMPORTANT NOTICE</w:t>
            </w:r>
          </w:p>
          <w:p w14:paraId="39AFA4AB" w14:textId="77777777" w:rsidR="005104D8" w:rsidRDefault="00FB0300">
            <w:pPr>
              <w:spacing w:after="80"/>
              <w:jc w:val="center"/>
            </w:pPr>
            <w:r>
              <w:rPr>
                <w:color w:val="333333"/>
                <w:sz w:val="21"/>
                <w:szCs w:val="21"/>
              </w:rPr>
              <w:t xml:space="preserve">This document has been written by </w:t>
            </w:r>
            <w:r>
              <w:rPr>
                <w:b/>
                <w:bCs/>
                <w:color w:val="333333"/>
                <w:sz w:val="21"/>
                <w:szCs w:val="21"/>
              </w:rPr>
              <w:t>Dr Greg Burch</w:t>
            </w:r>
            <w:r>
              <w:rPr>
                <w:color w:val="333333"/>
                <w:sz w:val="21"/>
                <w:szCs w:val="21"/>
              </w:rPr>
              <w:t xml:space="preserve"> of </w:t>
            </w:r>
            <w:r>
              <w:rPr>
                <w:b/>
                <w:bCs/>
                <w:color w:val="333333"/>
                <w:sz w:val="21"/>
                <w:szCs w:val="21"/>
              </w:rPr>
              <w:t>Tiny Medical Apps Limited (TMA)</w:t>
            </w:r>
            <w:r>
              <w:rPr>
                <w:color w:val="333333"/>
                <w:sz w:val="21"/>
                <w:szCs w:val="21"/>
              </w:rPr>
              <w:t>.</w:t>
            </w:r>
          </w:p>
          <w:p w14:paraId="224D18D4" w14:textId="77777777" w:rsidR="005104D8" w:rsidRDefault="00FB0300">
            <w:pPr>
              <w:spacing w:after="80"/>
              <w:jc w:val="center"/>
            </w:pPr>
            <w:r>
              <w:rPr>
                <w:color w:val="333333"/>
                <w:sz w:val="21"/>
                <w:szCs w:val="21"/>
              </w:rPr>
              <w:t>It does not represent the views, policies or endorsement of any other organisation mentioned within this document, including those cited as exemplar projects or potential partners. Organisations are referenced for illustrative purposes only.</w:t>
            </w:r>
          </w:p>
          <w:p w14:paraId="02BE354A" w14:textId="77777777" w:rsidR="005104D8" w:rsidRDefault="005104D8">
            <w:pPr>
              <w:jc w:val="center"/>
            </w:pPr>
          </w:p>
        </w:tc>
      </w:tr>
    </w:tbl>
    <w:p w14:paraId="1C921ED0" w14:textId="77777777" w:rsidR="005104D8" w:rsidRDefault="00FB0300">
      <w:pPr>
        <w:spacing w:before="600" w:after="120"/>
        <w:jc w:val="center"/>
      </w:pPr>
      <w:r>
        <w:rPr>
          <w:color w:val="333333"/>
        </w:rPr>
        <w:t>Prepared for ICB and Community Trust Planning Teams</w:t>
      </w:r>
    </w:p>
    <w:p w14:paraId="2CB4C20B" w14:textId="77777777" w:rsidR="005104D8" w:rsidRDefault="00FB0300">
      <w:pPr>
        <w:spacing w:after="120"/>
        <w:jc w:val="center"/>
      </w:pPr>
      <w:r>
        <w:rPr>
          <w:color w:val="333333"/>
        </w:rPr>
        <w:t>April 2026</w:t>
      </w:r>
    </w:p>
    <w:p w14:paraId="2D84E77B" w14:textId="77777777" w:rsidR="005104D8" w:rsidRDefault="00FB0300">
      <w:pPr>
        <w:spacing w:after="120"/>
        <w:jc w:val="center"/>
      </w:pPr>
      <w:r>
        <w:rPr>
          <w:b/>
          <w:bCs/>
          <w:color w:val="333333"/>
        </w:rPr>
        <w:t>Tiny Medical Apps Limited</w:t>
      </w:r>
    </w:p>
    <w:p w14:paraId="5EB11819" w14:textId="77777777" w:rsidR="005104D8" w:rsidRDefault="00FB0300">
      <w:pPr>
        <w:spacing w:after="120"/>
        <w:jc w:val="center"/>
      </w:pPr>
      <w:r>
        <w:rPr>
          <w:i/>
          <w:iCs/>
          <w:color w:val="333333"/>
          <w:sz w:val="20"/>
          <w:szCs w:val="20"/>
        </w:rPr>
        <w:t>Author: Dr Greg Burch, Joint CEO &amp; Clinical Director</w:t>
      </w:r>
    </w:p>
    <w:p w14:paraId="4AF65CAF" w14:textId="77777777" w:rsidR="005104D8" w:rsidRDefault="00FB0300">
      <w:pPr>
        <w:spacing w:after="120"/>
        <w:jc w:val="center"/>
      </w:pPr>
      <w:proofErr w:type="gramStart"/>
      <w:r>
        <w:rPr>
          <w:color w:val="666666"/>
          <w:sz w:val="20"/>
          <w:szCs w:val="20"/>
        </w:rPr>
        <w:t>hello@tinymedicalapps.com  |</w:t>
      </w:r>
      <w:proofErr w:type="gramEnd"/>
      <w:r>
        <w:rPr>
          <w:color w:val="666666"/>
          <w:sz w:val="20"/>
          <w:szCs w:val="20"/>
        </w:rPr>
        <w:t xml:space="preserve">  tinymedicalapps.com</w:t>
      </w:r>
    </w:p>
    <w:p w14:paraId="684E8B1A" w14:textId="77777777" w:rsidR="005104D8" w:rsidRDefault="00FB0300">
      <w:pPr>
        <w:jc w:val="center"/>
        <w:sectPr w:rsidR="005104D8">
          <w:pgSz w:w="11906" w:h="16838"/>
          <w:pgMar w:top="1440" w:right="1440" w:bottom="1440" w:left="1440" w:header="708" w:footer="708" w:gutter="0"/>
          <w:pgNumType w:start="1"/>
          <w:cols w:space="720"/>
        </w:sectPr>
      </w:pPr>
      <w:r>
        <w:rPr>
          <w:color w:val="999999"/>
          <w:sz w:val="18"/>
          <w:szCs w:val="18"/>
        </w:rPr>
        <w:t>© Tiny Medical Apps Limited 2026</w:t>
      </w:r>
    </w:p>
    <w:p w14:paraId="283B4302"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lastRenderedPageBreak/>
        <w:t>1. Executive Summary</w:t>
      </w:r>
    </w:p>
    <w:p w14:paraId="0486600C" w14:textId="77777777" w:rsidR="005104D8" w:rsidRDefault="00FB0300">
      <w:pPr>
        <w:spacing w:after="120"/>
      </w:pPr>
      <w:r>
        <w:rPr>
          <w:color w:val="333333"/>
        </w:rPr>
        <w:t>Across England, a new approach to adolescent health is beginning to take shape, one that recognises young people are best supported not through fragmented services, but through connected, community-based models that meet them where they are.</w:t>
      </w:r>
    </w:p>
    <w:p w14:paraId="321F684E" w14:textId="77777777" w:rsidR="005104D8" w:rsidRDefault="00FB0300">
      <w:pPr>
        <w:spacing w:after="120"/>
      </w:pPr>
      <w:r>
        <w:rPr>
          <w:color w:val="333333"/>
        </w:rPr>
        <w:t>National policy is now aligning behind this shift. NHS England’s transition guidance, the government’s Youth Matters strategy, and the 10 Year Health Plan all point toward a future where care is delivered through neighbourhood health models, supported by education, community organisations, and digital tools.</w:t>
      </w:r>
    </w:p>
    <w:p w14:paraId="79F137CC" w14:textId="77777777" w:rsidR="005104D8" w:rsidRDefault="00FB0300">
      <w:pPr>
        <w:spacing w:after="120"/>
      </w:pPr>
      <w:r>
        <w:rPr>
          <w:color w:val="333333"/>
        </w:rPr>
        <w:t>In practice, this is already happening.</w:t>
      </w:r>
    </w:p>
    <w:p w14:paraId="35F6878B" w14:textId="77777777" w:rsidR="005104D8" w:rsidRDefault="00FB0300">
      <w:pPr>
        <w:spacing w:after="120"/>
      </w:pPr>
      <w:r>
        <w:rPr>
          <w:color w:val="333333"/>
        </w:rPr>
        <w:t>In East London, partnerships between youth services such as Spotlight and NHS providers have demonstrated how health support can be delivered effectively within youth settings, an approach often described as a modern “Sure Start for Teenagers.”</w:t>
      </w:r>
    </w:p>
    <w:p w14:paraId="4DBAB1B1" w14:textId="77777777" w:rsidR="005104D8" w:rsidRDefault="00FB0300">
      <w:pPr>
        <w:spacing w:after="120"/>
      </w:pPr>
      <w:r>
        <w:rPr>
          <w:color w:val="333333"/>
        </w:rPr>
        <w:t>In Bradford, local partners including the Education Alliance for Life Chances are developing school-based health hubs, bringing health professionals directly into schools and tailoring support to the needs of each community.</w:t>
      </w:r>
    </w:p>
    <w:p w14:paraId="0E3FB71C" w14:textId="77777777" w:rsidR="005104D8" w:rsidRDefault="00FB0300">
      <w:pPr>
        <w:spacing w:after="120"/>
      </w:pPr>
      <w:r>
        <w:rPr>
          <w:color w:val="333333"/>
        </w:rPr>
        <w:t xml:space="preserve">These approaches share a common principle: </w:t>
      </w:r>
      <w:r>
        <w:rPr>
          <w:b/>
          <w:bCs/>
          <w:color w:val="333333"/>
        </w:rPr>
        <w:t>young people are more likely to engage with care when it is accessible, trusted, and part of their everyday lives.</w:t>
      </w:r>
    </w:p>
    <w:p w14:paraId="3D605E8D" w14:textId="77777777" w:rsidR="005104D8" w:rsidRDefault="00FB0300">
      <w:pPr>
        <w:spacing w:after="120"/>
      </w:pPr>
      <w:r>
        <w:rPr>
          <w:color w:val="333333"/>
        </w:rPr>
        <w:t>This document draws together these emerging place-based models into a simple, connected framework:</w:t>
      </w:r>
    </w:p>
    <w:p w14:paraId="35181599" w14:textId="77777777" w:rsidR="005104D8" w:rsidRDefault="00FB0300">
      <w:pPr>
        <w:pBdr>
          <w:top w:val="nil"/>
          <w:left w:val="nil"/>
          <w:bottom w:val="nil"/>
          <w:right w:val="nil"/>
          <w:between w:val="nil"/>
        </w:pBdr>
        <w:spacing w:after="80"/>
        <w:rPr>
          <w:color w:val="000000"/>
        </w:rPr>
      </w:pPr>
      <w:r>
        <w:rPr>
          <w:b/>
          <w:bCs/>
          <w:color w:val="333333"/>
        </w:rPr>
        <w:t>People</w:t>
      </w:r>
      <w:r>
        <w:rPr>
          <w:color w:val="333333"/>
        </w:rPr>
        <w:t xml:space="preserve"> — trusted adults, health professionals, and peer support</w:t>
      </w:r>
    </w:p>
    <w:p w14:paraId="78016845" w14:textId="77777777" w:rsidR="005104D8" w:rsidRDefault="00FB0300">
      <w:pPr>
        <w:pBdr>
          <w:top w:val="nil"/>
          <w:left w:val="nil"/>
          <w:bottom w:val="nil"/>
          <w:right w:val="nil"/>
          <w:between w:val="nil"/>
        </w:pBdr>
        <w:spacing w:after="80"/>
        <w:rPr>
          <w:color w:val="000000"/>
        </w:rPr>
      </w:pPr>
      <w:r>
        <w:rPr>
          <w:b/>
          <w:bCs/>
          <w:color w:val="333333"/>
        </w:rPr>
        <w:t>Places</w:t>
      </w:r>
      <w:r>
        <w:rPr>
          <w:color w:val="333333"/>
        </w:rPr>
        <w:t xml:space="preserve"> — youth clubs, community settings, and schools</w:t>
      </w:r>
    </w:p>
    <w:p w14:paraId="690A092A" w14:textId="77777777" w:rsidR="005104D8" w:rsidRDefault="00FB0300">
      <w:pPr>
        <w:pBdr>
          <w:top w:val="nil"/>
          <w:left w:val="nil"/>
          <w:bottom w:val="nil"/>
          <w:right w:val="nil"/>
          <w:between w:val="nil"/>
        </w:pBdr>
        <w:spacing w:after="80"/>
        <w:rPr>
          <w:color w:val="000000"/>
        </w:rPr>
      </w:pPr>
      <w:r>
        <w:rPr>
          <w:b/>
          <w:bCs/>
          <w:color w:val="333333"/>
        </w:rPr>
        <w:t>Digital</w:t>
      </w:r>
      <w:r>
        <w:rPr>
          <w:color w:val="333333"/>
        </w:rPr>
        <w:t xml:space="preserve"> — tools that enable continuity, self-management, and connection across services</w:t>
      </w:r>
    </w:p>
    <w:p w14:paraId="410E71E4" w14:textId="77777777" w:rsidR="005104D8" w:rsidRDefault="00FB0300">
      <w:pPr>
        <w:spacing w:after="120"/>
      </w:pPr>
      <w:r>
        <w:rPr>
          <w:color w:val="333333"/>
        </w:rPr>
        <w:t xml:space="preserve">While significant investment is now being directed into physical spaces, youth centres, schools, and community hubs, one critical element remains underdeveloped: </w:t>
      </w:r>
      <w:r>
        <w:rPr>
          <w:b/>
          <w:bCs/>
          <w:color w:val="333333"/>
        </w:rPr>
        <w:t>how young people manage their health between interactions, and how care follows them across settings.</w:t>
      </w:r>
    </w:p>
    <w:p w14:paraId="6234054D" w14:textId="77777777" w:rsidR="005104D8" w:rsidRDefault="00FB0300">
      <w:pPr>
        <w:spacing w:after="120"/>
      </w:pPr>
      <w:r>
        <w:rPr>
          <w:color w:val="333333"/>
        </w:rPr>
        <w:t>Without a connected digital layer, there is a risk that this investment will recreate the same fragmentation in new settings, with care plans, communication and accountability still split across services.</w:t>
      </w:r>
    </w:p>
    <w:p w14:paraId="00BC5423" w14:textId="77777777" w:rsidR="005104D8" w:rsidRDefault="00FB0300">
      <w:pPr>
        <w:spacing w:after="120"/>
      </w:pPr>
      <w:r>
        <w:rPr>
          <w:color w:val="333333"/>
        </w:rPr>
        <w:t xml:space="preserve">The </w:t>
      </w:r>
      <w:r>
        <w:rPr>
          <w:b/>
          <w:bCs/>
          <w:color w:val="333333"/>
        </w:rPr>
        <w:t>Digital Health Passport (DHP)</w:t>
      </w:r>
      <w:r>
        <w:rPr>
          <w:color w:val="333333"/>
        </w:rPr>
        <w:t xml:space="preserve"> is designed to support this layer. It does not replace existing NHS systems or services. Instead, it provides a young person–controlled, digital bridge, connecting care plans, self-management tools, and local services across health, education, and community environments.</w:t>
      </w:r>
    </w:p>
    <w:p w14:paraId="53F46B2D" w14:textId="77777777" w:rsidR="005104D8" w:rsidRDefault="00FB0300">
      <w:pPr>
        <w:spacing w:after="120"/>
      </w:pPr>
      <w:r>
        <w:rPr>
          <w:color w:val="333333"/>
        </w:rPr>
        <w:t>By linking into NHS Login and aligning with national digital architecture, the DHP enables local innovation to scale, supporting both neighbourhood delivery and system-wide integration.</w:t>
      </w:r>
    </w:p>
    <w:p w14:paraId="62C07A7C" w14:textId="77777777" w:rsidR="005104D8" w:rsidRDefault="00FB0300">
      <w:pPr>
        <w:spacing w:after="120"/>
      </w:pPr>
      <w:r>
        <w:rPr>
          <w:color w:val="333333"/>
        </w:rPr>
        <w:t>This is not a finished model, nor a single organisation’s solution. It is a shared direction of travel, shaped by partners across the NHS, local government, schools, youth services, and the voluntary sector.</w:t>
      </w:r>
    </w:p>
    <w:p w14:paraId="0D27C3E3" w14:textId="77777777" w:rsidR="005104D8" w:rsidRDefault="00FB0300">
      <w:pPr>
        <w:spacing w:after="120"/>
      </w:pPr>
      <w:r>
        <w:rPr>
          <w:color w:val="333333"/>
        </w:rPr>
        <w:t xml:space="preserve">The opportunity now is to connect these efforts, combining </w:t>
      </w:r>
      <w:r>
        <w:rPr>
          <w:b/>
          <w:bCs/>
          <w:color w:val="333333"/>
        </w:rPr>
        <w:t>place-based investment with digital connectivity,</w:t>
      </w:r>
      <w:r>
        <w:rPr>
          <w:color w:val="333333"/>
        </w:rPr>
        <w:t xml:space="preserve"> to create a modern, scalable equivalent of Sure Start for a new generation.</w:t>
      </w:r>
    </w:p>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5104D8" w14:paraId="16D021BC" w14:textId="77777777">
        <w:tc>
          <w:tcPr>
            <w:tcW w:w="9026" w:type="dxa"/>
            <w:tcBorders>
              <w:top w:val="nil"/>
              <w:left w:val="single" w:sz="12" w:space="0" w:color="1F4E79"/>
              <w:bottom w:val="nil"/>
              <w:right w:val="nil"/>
            </w:tcBorders>
            <w:shd w:val="clear" w:color="auto" w:fill="F0F4FA"/>
            <w:tcMar>
              <w:top w:w="120" w:type="dxa"/>
              <w:left w:w="200" w:type="dxa"/>
              <w:bottom w:w="120" w:type="dxa"/>
              <w:right w:w="200" w:type="dxa"/>
            </w:tcMar>
          </w:tcPr>
          <w:p w14:paraId="499290F7" w14:textId="77777777" w:rsidR="005104D8" w:rsidRDefault="00FB0300">
            <w:r>
              <w:rPr>
                <w:i/>
                <w:iCs/>
                <w:color w:val="333333"/>
                <w:sz w:val="21"/>
                <w:szCs w:val="21"/>
              </w:rPr>
              <w:t xml:space="preserve">“The Government is investing in services for young </w:t>
            </w:r>
            <w:proofErr w:type="gramStart"/>
            <w:r>
              <w:rPr>
                <w:i/>
                <w:iCs/>
                <w:color w:val="333333"/>
                <w:sz w:val="21"/>
                <w:szCs w:val="21"/>
              </w:rPr>
              <w:t>people</w:t>
            </w:r>
            <w:proofErr w:type="gramEnd"/>
            <w:r>
              <w:rPr>
                <w:i/>
                <w:iCs/>
                <w:color w:val="333333"/>
                <w:sz w:val="21"/>
                <w:szCs w:val="21"/>
              </w:rPr>
              <w:t xml:space="preserve"> and the NHS is developing tailored support for teenagers. There is an opportunity to address the communication gap </w:t>
            </w:r>
            <w:r>
              <w:rPr>
                <w:i/>
                <w:iCs/>
                <w:color w:val="333333"/>
                <w:sz w:val="21"/>
                <w:szCs w:val="21"/>
              </w:rPr>
              <w:lastRenderedPageBreak/>
              <w:t>between the NHS, council services with young people at the centre.”</w:t>
            </w:r>
            <w:r>
              <w:rPr>
                <w:b/>
                <w:bCs/>
                <w:color w:val="1F4E79"/>
                <w:sz w:val="20"/>
                <w:szCs w:val="20"/>
              </w:rPr>
              <w:t xml:space="preserve"> — Dr Greg Burch, Joint CEO &amp; Clinical Director, Tiny Medical Apps</w:t>
            </w:r>
          </w:p>
        </w:tc>
      </w:tr>
    </w:tbl>
    <w:p w14:paraId="49AAE025"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lastRenderedPageBreak/>
        <w:t>2. Policy Alignment</w:t>
      </w:r>
    </w:p>
    <w:p w14:paraId="3B65C3C8" w14:textId="77777777" w:rsidR="005104D8" w:rsidRDefault="00FB0300">
      <w:pPr>
        <w:spacing w:after="120"/>
      </w:pPr>
      <w:r>
        <w:rPr>
          <w:color w:val="333333"/>
        </w:rPr>
        <w:t>Three major national policy pillars have converged simultaneously, creating both the mandate and the funding landscape for this model.</w:t>
      </w:r>
    </w:p>
    <w:p w14:paraId="4A14AF6A"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2.1 NHS England Transition Guidance (8 April 2026)</w:t>
      </w:r>
    </w:p>
    <w:p w14:paraId="169A5498" w14:textId="77777777" w:rsidR="005104D8" w:rsidRDefault="00FB0300">
      <w:pPr>
        <w:spacing w:after="120"/>
      </w:pPr>
      <w:r>
        <w:rPr>
          <w:color w:val="333333"/>
        </w:rPr>
        <w:t>Published recently, the guidance sets out proposed actions for ICBs, providers and clinical teams to enable safe and effective transition for 0–25-year-olds. It explicitly requires ICBs to commission developmentally appropriate care, naming digital tools, community services, VCSE partners, social prescribing, neighbourhood multidisciplinary teams and education providers as essential commissioning partners. It references SEND, learning disability, looked-after children and care leavers — all priority cohorts</w:t>
      </w:r>
      <w:r>
        <w:rPr>
          <w:color w:val="333333"/>
        </w:rPr>
        <w:t xml:space="preserve"> for this model.</w:t>
      </w:r>
    </w:p>
    <w:p w14:paraId="39AC11F4"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2.2 Sir James Mackey’s Planning Framework (April 2026)</w:t>
      </w:r>
    </w:p>
    <w:p w14:paraId="1939831A" w14:textId="77777777" w:rsidR="005104D8" w:rsidRDefault="00FB0300">
      <w:pPr>
        <w:spacing w:after="120"/>
      </w:pPr>
      <w:r>
        <w:rPr>
          <w:color w:val="333333"/>
        </w:rPr>
        <w:t>ICBs must provide a single planning document via regional teams by mid-May 2026, covering neighbourhood health models, proactive care, and the NHS App as digital front door. The adolescent transition section of these plans is precisely where this exemplar strategy is designed to be incorporated.</w:t>
      </w:r>
    </w:p>
    <w:p w14:paraId="4E673E88"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2.3 Youth Matters: Your National Youth Strategy (December 2025)</w:t>
      </w:r>
    </w:p>
    <w:p w14:paraId="69D6C92F" w14:textId="77777777" w:rsidR="005104D8" w:rsidRDefault="00FB0300">
      <w:pPr>
        <w:spacing w:after="120"/>
      </w:pPr>
      <w:r>
        <w:rPr>
          <w:color w:val="333333"/>
        </w:rPr>
        <w:t xml:space="preserve">The government’s ten-year cross-departmental plan commits £350 million for up to 250 new or refurbished youth facilities, £70 million for 50 Young Futures Hubs by March 2029, and £60 million for a Richer Young Lives Fund. Its two stated ambitions by 2035 are halving the participation gap in enriching activities between disadvantaged young people and their </w:t>
      </w:r>
      <w:proofErr w:type="gramStart"/>
      <w:r>
        <w:rPr>
          <w:color w:val="333333"/>
        </w:rPr>
        <w:t>peers, and</w:t>
      </w:r>
      <w:proofErr w:type="gramEnd"/>
      <w:r>
        <w:rPr>
          <w:color w:val="333333"/>
        </w:rPr>
        <w:t xml:space="preserve"> giving 500,000 more young people access to a trusted adult outside their home.</w:t>
      </w:r>
    </w:p>
    <w:p w14:paraId="6FF111D9"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2.4 The 10 Year Health Plan and Core20PLUS5</w:t>
      </w:r>
    </w:p>
    <w:p w14:paraId="0E46A2C1" w14:textId="77777777" w:rsidR="005104D8" w:rsidRDefault="00FB0300">
      <w:pPr>
        <w:spacing w:after="120"/>
      </w:pPr>
      <w:r>
        <w:rPr>
          <w:color w:val="333333"/>
        </w:rPr>
        <w:t xml:space="preserve">The 10 Year Health Plan positions the NHS App as the digital front door to the NHS. Core20PLUS5 for children and young people identifies asthma, diabetes, epilepsy, oral health and mental health as clinical priority areas. The Sure Start for Teenagers model addresses all five through its integrated People, Places and Digital approach, with </w:t>
      </w:r>
      <w:proofErr w:type="gramStart"/>
      <w:r>
        <w:rPr>
          <w:color w:val="333333"/>
        </w:rPr>
        <w:t>particular strength</w:t>
      </w:r>
      <w:proofErr w:type="gramEnd"/>
      <w:r>
        <w:rPr>
          <w:color w:val="333333"/>
        </w:rPr>
        <w:t xml:space="preserve"> in reaching deprived and ethnically diverse communities as demonstrated by independent evaluation.</w:t>
      </w:r>
    </w:p>
    <w:p w14:paraId="46DE6F66"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t>3. The Problem This Solves</w:t>
      </w:r>
    </w:p>
    <w:p w14:paraId="5E64791D" w14:textId="77777777" w:rsidR="005104D8" w:rsidRDefault="00FB0300">
      <w:pPr>
        <w:spacing w:after="120"/>
      </w:pPr>
      <w:r>
        <w:rPr>
          <w:color w:val="333333"/>
        </w:rPr>
        <w:t>There are 12 million people aged 10 to 25 in England — 18% of the population. This is one of the most formative phases of life, yet young people are too often let down by a healthcare system designed around children or adults, but rarely for those in between. The NHS England transition guidance acknowledges that unsupported transition leads to poorer health and social outcomes, reduced disease control, lower social participation and diminished educational achievement.</w:t>
      </w:r>
    </w:p>
    <w:p w14:paraId="4F873E4D" w14:textId="77777777" w:rsidR="005104D8" w:rsidRDefault="00FB0300">
      <w:pPr>
        <w:spacing w:after="120"/>
      </w:pPr>
      <w:r>
        <w:rPr>
          <w:color w:val="333333"/>
        </w:rPr>
        <w:t>The following case studies illustrate the real-world problems that the Sure Start for Teenagers model is designed to solve.</w:t>
      </w:r>
    </w:p>
    <w:p w14:paraId="126DF7FA"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lastRenderedPageBreak/>
        <w:t>Case Study 1: Marcus — The Teenager at the Youth Club</w:t>
      </w:r>
    </w:p>
    <w:p w14:paraId="1FCEE9CB" w14:textId="77777777" w:rsidR="005104D8" w:rsidRDefault="00FB0300">
      <w:pPr>
        <w:spacing w:after="120"/>
      </w:pPr>
      <w:r>
        <w:rPr>
          <w:color w:val="333333"/>
        </w:rPr>
        <w:t xml:space="preserve">Marcus is 15 and attends his local youth club three evenings a week for the boxing programme. He has been permanently excluded from school for repeated behavioural incidents. His youth workers recognise the pattern: difficulty regulating emotions, sensory overload in noisy environments, rigid thinking, and an inability to read social cues. Marcus is clearly neurodivergent, but he has never been assessed. He has no advocate navigating the system on his behalf. His GP has noted “behavioural difficulties” but </w:t>
      </w:r>
      <w:r>
        <w:rPr>
          <w:color w:val="333333"/>
        </w:rPr>
        <w:t>has not initiated a referral for assessment. His school viewed him as disruptive rather than struggling.</w:t>
      </w:r>
    </w:p>
    <w:p w14:paraId="5FEBDE85" w14:textId="77777777" w:rsidR="005104D8" w:rsidRDefault="00FB0300">
      <w:pPr>
        <w:spacing w:after="120"/>
      </w:pPr>
      <w:r>
        <w:rPr>
          <w:b/>
          <w:bCs/>
          <w:color w:val="333333"/>
        </w:rPr>
        <w:t xml:space="preserve">Without the model: </w:t>
      </w:r>
      <w:r>
        <w:rPr>
          <w:color w:val="333333"/>
        </w:rPr>
        <w:t>Marcus falls through every gap. He is not in school, not under CAMHS, not on any pathway. His youth club is the only stable point of contact, but it has no connection to health services. He reaches 18 with no diagnosis, no support plan, and no route into adult services.</w:t>
      </w:r>
    </w:p>
    <w:p w14:paraId="76C482FC" w14:textId="77777777" w:rsidR="005104D8" w:rsidRDefault="00FB0300">
      <w:pPr>
        <w:spacing w:after="120"/>
      </w:pPr>
      <w:r>
        <w:rPr>
          <w:b/>
          <w:bCs/>
          <w:color w:val="333333"/>
        </w:rPr>
        <w:t xml:space="preserve">With the model: </w:t>
      </w:r>
      <w:r>
        <w:rPr>
          <w:color w:val="333333"/>
        </w:rPr>
        <w:t xml:space="preserve">Marcus’s youth workers are trained jointly with </w:t>
      </w:r>
      <w:proofErr w:type="spellStart"/>
      <w:r>
        <w:rPr>
          <w:color w:val="333333"/>
        </w:rPr>
        <w:t>HealthSpot</w:t>
      </w:r>
      <w:proofErr w:type="spellEnd"/>
      <w:r>
        <w:rPr>
          <w:color w:val="333333"/>
        </w:rPr>
        <w:t xml:space="preserve"> GPs in recognising neurodivergence and initiating appropriate referrals. The </w:t>
      </w:r>
      <w:proofErr w:type="spellStart"/>
      <w:r>
        <w:rPr>
          <w:color w:val="333333"/>
        </w:rPr>
        <w:t>HealthSpot</w:t>
      </w:r>
      <w:proofErr w:type="spellEnd"/>
      <w:r>
        <w:rPr>
          <w:color w:val="333333"/>
        </w:rPr>
        <w:t xml:space="preserve"> GP at the youth club conducts an initial holistic health assessment in a setting where Marcus feels safe, with his trusted youth worker present. A referral for neurodevelopmental assessment is initiated. The DHP holds Marcus’s emerging care plan, accessible to his GP, the youth club, and any future education or employment provider he consents to share with. His y</w:t>
      </w:r>
      <w:r>
        <w:rPr>
          <w:color w:val="333333"/>
        </w:rPr>
        <w:t>outh worker becomes his named advocate through the transition process. The boxing continues.</w:t>
      </w:r>
    </w:p>
    <w:p w14:paraId="6BE1E240"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Case Study 2: Priya — The 14-Year-Old Young Carer</w:t>
      </w:r>
    </w:p>
    <w:p w14:paraId="53B18FE2" w14:textId="77777777" w:rsidR="005104D8" w:rsidRDefault="00FB0300">
      <w:pPr>
        <w:spacing w:after="120"/>
      </w:pPr>
      <w:r>
        <w:rPr>
          <w:color w:val="333333"/>
        </w:rPr>
        <w:t>Priya is 14 and cares for her mother, who has multiple sclerosis. Alongside this, she manages her own health: moderate persistent asthma requiring regular review and medication. In theory, Priya should be seen routinely by her GP. In practice, she cannot access care when she needs it.</w:t>
      </w:r>
    </w:p>
    <w:p w14:paraId="5DE9BAD3" w14:textId="77777777" w:rsidR="005104D8" w:rsidRDefault="00FB0300">
      <w:pPr>
        <w:spacing w:after="120"/>
      </w:pPr>
      <w:r>
        <w:rPr>
          <w:color w:val="333333"/>
        </w:rPr>
        <w:t>She is under 16, so she cannot use online triage systems independently. She cannot call during surgery hours because she is in school. Her mother’s condition makes it difficult for her to advocate consistently on Priya’s behalf. Over six months, Priya’s asthma control deteriorates. She attends A&amp;E twice with exacerbations that could have been prevented with routine review and an updated action plan. Priya is not disengaged. She is locked out of access.</w:t>
      </w:r>
    </w:p>
    <w:p w14:paraId="6AB115CE" w14:textId="77777777" w:rsidR="005104D8" w:rsidRDefault="00FB0300">
      <w:pPr>
        <w:spacing w:after="120"/>
      </w:pPr>
      <w:r>
        <w:rPr>
          <w:b/>
          <w:bCs/>
          <w:color w:val="333333"/>
        </w:rPr>
        <w:t xml:space="preserve">Without the model: </w:t>
      </w:r>
      <w:r>
        <w:rPr>
          <w:color w:val="333333"/>
        </w:rPr>
        <w:t>Priya’s asthma remains poorly controlled. She misses school, her caring responsibilities increase, and her health deteriorates further. She continues to access care only in crisis. No single professional has visibility of both her clinical needs and her home situation.</w:t>
      </w:r>
    </w:p>
    <w:p w14:paraId="269E61EB" w14:textId="77777777" w:rsidR="005104D8" w:rsidRDefault="00FB0300">
      <w:pPr>
        <w:spacing w:after="120"/>
      </w:pPr>
      <w:r>
        <w:rPr>
          <w:b/>
          <w:bCs/>
          <w:color w:val="333333"/>
        </w:rPr>
        <w:t xml:space="preserve">With the model: </w:t>
      </w:r>
      <w:r>
        <w:rPr>
          <w:color w:val="333333"/>
        </w:rPr>
        <w:t>Priya is seen at a local youth or school-based health hub, at a time that works for her — without age barriers or complex booking systems. A clinician reviews her asthma, updates her action plan, and records it on the Digital Health Passport (DHP).</w:t>
      </w:r>
    </w:p>
    <w:p w14:paraId="251F454C" w14:textId="77777777" w:rsidR="005104D8" w:rsidRDefault="00FB0300">
      <w:pPr>
        <w:spacing w:after="120"/>
      </w:pPr>
      <w:r>
        <w:rPr>
          <w:color w:val="333333"/>
        </w:rPr>
        <w:t>Her care plan is now visible to her GP and school nurse. The DHP provides medication reminders and sends alerts on high-risk days for air quality or pollen, helping her manage symptoms proactively. Through the DHP “My Area” function, Priya is connected to local young carers’ support. Her next appointment is booked before she leaves.</w:t>
      </w:r>
    </w:p>
    <w:p w14:paraId="3BB22EAE" w14:textId="77777777" w:rsidR="005104D8" w:rsidRDefault="00FB0300">
      <w:pPr>
        <w:spacing w:after="120"/>
      </w:pPr>
      <w:r>
        <w:rPr>
          <w:color w:val="333333"/>
        </w:rPr>
        <w:t>Care becomes planned, visible, and continuous — rather than reactive.</w:t>
      </w:r>
    </w:p>
    <w:p w14:paraId="3DB59A49"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Case Study 3: Jayden — The Care Plan That Can’t Be Seen</w:t>
      </w:r>
    </w:p>
    <w:p w14:paraId="7AECAA86" w14:textId="77777777" w:rsidR="005104D8" w:rsidRDefault="00FB0300">
      <w:pPr>
        <w:spacing w:after="120"/>
      </w:pPr>
      <w:r>
        <w:rPr>
          <w:color w:val="333333"/>
        </w:rPr>
        <w:t xml:space="preserve">Jayden is 17, has epilepsy and anxiety, and is under two community providers: one for his epilepsy (community paediatrics) and one for his mental health (CAMHS). He also sees a school nurse, his GP, and a social prescriber. None of these professionals can see each other’s care plans. His epilepsy rescue medication protocol, written by his community </w:t>
      </w:r>
      <w:r>
        <w:rPr>
          <w:color w:val="333333"/>
        </w:rPr>
        <w:lastRenderedPageBreak/>
        <w:t>paediatrician, is not visible to CAMHS. His anxiety management plan, written by CAMHS, is not visible to his GP. His school has a paper Individual Healthcare Plan that was last updated 18 months ago. Jayden is approaching his 18th birthday and will transfer to adult neurology and adult mental health services — two further providers who will start from scratch.</w:t>
      </w:r>
    </w:p>
    <w:p w14:paraId="6456C5DF" w14:textId="77777777" w:rsidR="005104D8" w:rsidRDefault="00FB0300">
      <w:pPr>
        <w:spacing w:after="120"/>
      </w:pPr>
      <w:r>
        <w:rPr>
          <w:b/>
          <w:bCs/>
          <w:color w:val="333333"/>
        </w:rPr>
        <w:t xml:space="preserve">Without the model: </w:t>
      </w:r>
      <w:r>
        <w:rPr>
          <w:color w:val="333333"/>
        </w:rPr>
        <w:t>Jayden’s care is fragmented. Each transition point involves information loss. He tells his story repeatedly to new professionals. His rescue medication protocol is not reliably available to anyone outside his epilepsy team. The risk of a preventable incident during handover is real and well-documented in national confidential enquiry reports.</w:t>
      </w:r>
    </w:p>
    <w:p w14:paraId="6FF1EB21" w14:textId="77777777" w:rsidR="005104D8" w:rsidRDefault="00FB0300">
      <w:pPr>
        <w:spacing w:after="120"/>
      </w:pPr>
      <w:r>
        <w:rPr>
          <w:b/>
          <w:bCs/>
          <w:color w:val="333333"/>
        </w:rPr>
        <w:t xml:space="preserve">With the model: </w:t>
      </w:r>
      <w:r>
        <w:rPr>
          <w:color w:val="333333"/>
        </w:rPr>
        <w:t>Jayden’s DHP holds his clinician-approved epilepsy rescue plan, his anxiety management plan, and his self-management goals in a single, young-person-controlled platform. Every consented care provider — across both community trusts, his GP, his school, and his future adult services — can view the plans that Jayden chooses to share. The DHP does not attempt to replace any clinical record system. It holds the self-management layer: care plans, goals, medication reminders, and coaching. It is the greenfield tha</w:t>
      </w:r>
      <w:r>
        <w:rPr>
          <w:color w:val="333333"/>
        </w:rPr>
        <w:t>t connects to everything else. As his GP system and community trusts connect, the DHP record links by default into any future single patient record architecture.</w:t>
      </w:r>
    </w:p>
    <w:p w14:paraId="2ED63924"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t>4. People — Professionals, Community and Peers</w:t>
      </w:r>
    </w:p>
    <w:p w14:paraId="6B5ADFFC" w14:textId="77777777" w:rsidR="005104D8" w:rsidRDefault="00FB0300">
      <w:pPr>
        <w:spacing w:after="120"/>
      </w:pPr>
      <w:r>
        <w:rPr>
          <w:color w:val="333333"/>
        </w:rPr>
        <w:t>The NHS England transition guidance is clear: staff across paediatric, adolescent and adult services must have the skills, competencies and knowledge to work with, engage and empower young people. Research cited in the guidance demonstrates that employing youth workers as the bridge between young people, their parents and multidisciplinary teams is effective. The Leeds Teaching Hospitals case study in the guidance shows youth workers embedded in speciality services including oncology, diabetes, cystic fibro</w:t>
      </w:r>
      <w:r>
        <w:rPr>
          <w:color w:val="333333"/>
        </w:rPr>
        <w:t>sis and rheumatology.</w:t>
      </w:r>
    </w:p>
    <w:p w14:paraId="184FB272" w14:textId="77777777" w:rsidR="005104D8" w:rsidRDefault="00FB0300">
      <w:pPr>
        <w:spacing w:after="120"/>
      </w:pPr>
      <w:r>
        <w:rPr>
          <w:color w:val="333333"/>
        </w:rPr>
        <w:t xml:space="preserve">This model builds on established practice from VCSE organisations such as </w:t>
      </w:r>
      <w:proofErr w:type="spellStart"/>
      <w:r>
        <w:rPr>
          <w:color w:val="333333"/>
        </w:rPr>
        <w:t>YoungMinds</w:t>
      </w:r>
      <w:proofErr w:type="spellEnd"/>
      <w:r>
        <w:rPr>
          <w:color w:val="333333"/>
        </w:rPr>
        <w:t xml:space="preserve"> and youth services like Spotlight, where trusted relationships and peer support are central to engagement.</w:t>
      </w:r>
    </w:p>
    <w:p w14:paraId="447D8878" w14:textId="77777777" w:rsidR="005104D8" w:rsidRDefault="00FB0300">
      <w:pPr>
        <w:spacing w:after="120"/>
      </w:pPr>
      <w:r>
        <w:rPr>
          <w:color w:val="333333"/>
        </w:rPr>
        <w:t>The Sure Start model extends this principle into community settings. The “People” arm comprises:</w:t>
      </w:r>
    </w:p>
    <w:p w14:paraId="1EE94142" w14:textId="77777777" w:rsidR="005104D8" w:rsidRDefault="00FB0300">
      <w:pPr>
        <w:pBdr>
          <w:top w:val="nil"/>
          <w:left w:val="nil"/>
          <w:bottom w:val="nil"/>
          <w:right w:val="nil"/>
          <w:between w:val="nil"/>
        </w:pBdr>
        <w:spacing w:after="80"/>
        <w:rPr>
          <w:color w:val="000000"/>
        </w:rPr>
      </w:pPr>
      <w:r>
        <w:rPr>
          <w:b/>
          <w:bCs/>
          <w:color w:val="333333"/>
        </w:rPr>
        <w:t>GPs trained in adolescent health</w:t>
      </w:r>
      <w:r>
        <w:rPr>
          <w:color w:val="333333"/>
        </w:rPr>
        <w:t xml:space="preserve"> — delivering extended GP services in youth settings, with access to registered patient records where available within the borough.</w:t>
      </w:r>
    </w:p>
    <w:p w14:paraId="75793666" w14:textId="77777777" w:rsidR="005104D8" w:rsidRDefault="00FB0300">
      <w:pPr>
        <w:pBdr>
          <w:top w:val="nil"/>
          <w:left w:val="nil"/>
          <w:bottom w:val="nil"/>
          <w:right w:val="nil"/>
          <w:between w:val="nil"/>
        </w:pBdr>
        <w:spacing w:after="80"/>
        <w:rPr>
          <w:color w:val="000000"/>
        </w:rPr>
      </w:pPr>
      <w:r>
        <w:rPr>
          <w:b/>
          <w:bCs/>
          <w:color w:val="333333"/>
        </w:rPr>
        <w:t>Youth workers</w:t>
      </w:r>
      <w:r>
        <w:rPr>
          <w:color w:val="333333"/>
        </w:rPr>
        <w:t xml:space="preserve"> — the trusted adults who build relationships, support referrals, accompany young people to appointments, and provide continuity when clinical teams change at transition.</w:t>
      </w:r>
    </w:p>
    <w:p w14:paraId="4628D473" w14:textId="77777777" w:rsidR="005104D8" w:rsidRDefault="00FB0300">
      <w:pPr>
        <w:pBdr>
          <w:top w:val="nil"/>
          <w:left w:val="nil"/>
          <w:bottom w:val="nil"/>
          <w:right w:val="nil"/>
          <w:between w:val="nil"/>
        </w:pBdr>
        <w:spacing w:after="80"/>
        <w:rPr>
          <w:color w:val="000000"/>
        </w:rPr>
      </w:pPr>
      <w:r>
        <w:rPr>
          <w:b/>
          <w:bCs/>
          <w:color w:val="333333"/>
        </w:rPr>
        <w:t>Peer supporters</w:t>
      </w:r>
      <w:r>
        <w:rPr>
          <w:color w:val="333333"/>
        </w:rPr>
        <w:t xml:space="preserve"> — young people with lived experience who support others navigating long-term conditions, mental health challenges, or the transition process.</w:t>
      </w:r>
    </w:p>
    <w:p w14:paraId="276B211C" w14:textId="77777777" w:rsidR="005104D8" w:rsidRDefault="00FB0300">
      <w:pPr>
        <w:pBdr>
          <w:top w:val="nil"/>
          <w:left w:val="nil"/>
          <w:bottom w:val="nil"/>
          <w:right w:val="nil"/>
          <w:between w:val="nil"/>
        </w:pBdr>
        <w:spacing w:after="80"/>
        <w:rPr>
          <w:color w:val="000000"/>
        </w:rPr>
      </w:pPr>
      <w:r>
        <w:rPr>
          <w:b/>
          <w:bCs/>
          <w:color w:val="333333"/>
        </w:rPr>
        <w:t>School nurses and community practitioners</w:t>
      </w:r>
      <w:r>
        <w:rPr>
          <w:color w:val="333333"/>
        </w:rPr>
        <w:t xml:space="preserve"> — connected through shared care plans on the DHP, able to view and contribute to the young person’s self-management record.</w:t>
      </w:r>
    </w:p>
    <w:p w14:paraId="53E20723"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t>5. Places — Youth-Friendly Health Hubs</w:t>
      </w:r>
    </w:p>
    <w:p w14:paraId="2138ACFF"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 xml:space="preserve">5.1 The </w:t>
      </w:r>
      <w:proofErr w:type="spellStart"/>
      <w:r>
        <w:rPr>
          <w:b/>
          <w:bCs/>
          <w:color w:val="1F4E79"/>
          <w:sz w:val="26"/>
          <w:szCs w:val="26"/>
        </w:rPr>
        <w:t>HealthSpot</w:t>
      </w:r>
      <w:proofErr w:type="spellEnd"/>
      <w:r>
        <w:rPr>
          <w:b/>
          <w:bCs/>
          <w:color w:val="1F4E79"/>
          <w:sz w:val="26"/>
          <w:szCs w:val="26"/>
        </w:rPr>
        <w:t xml:space="preserve"> Model</w:t>
      </w:r>
    </w:p>
    <w:p w14:paraId="16517FF7" w14:textId="77777777" w:rsidR="005104D8" w:rsidRDefault="00FB0300">
      <w:pPr>
        <w:spacing w:after="120"/>
      </w:pPr>
      <w:proofErr w:type="spellStart"/>
      <w:r>
        <w:rPr>
          <w:color w:val="333333"/>
        </w:rPr>
        <w:t>HealthSpot</w:t>
      </w:r>
      <w:proofErr w:type="spellEnd"/>
      <w:r>
        <w:rPr>
          <w:color w:val="333333"/>
        </w:rPr>
        <w:t>, developed in Tower Hamlets in partnership with Spotlight, Poplar HARCA’s award-winning youth service, is one of the clearest examples of how youth settings can successfully deliver health support.</w:t>
      </w:r>
    </w:p>
    <w:p w14:paraId="4FA6EB97" w14:textId="77777777" w:rsidR="005104D8" w:rsidRDefault="00FB0300">
      <w:pPr>
        <w:spacing w:after="120"/>
      </w:pPr>
      <w:r>
        <w:rPr>
          <w:color w:val="333333"/>
        </w:rPr>
        <w:lastRenderedPageBreak/>
        <w:t>The concept of a “Sure Start for Teenagers” originally articulated by Spotlight and now influencing national thinking on youth health provision, reflects a growing recognition that young people need accessible, community-based support that mirrors the early years model.</w:t>
      </w:r>
    </w:p>
    <w:p w14:paraId="51A8D6EC" w14:textId="77777777" w:rsidR="005104D8" w:rsidRDefault="00FB0300">
      <w:pPr>
        <w:spacing w:after="120"/>
      </w:pPr>
      <w:r>
        <w:rPr>
          <w:color w:val="333333"/>
        </w:rPr>
        <w:t xml:space="preserve">It offers GP appointments in a community youth setting, with youth worker support at every step of the referral and consultation process. </w:t>
      </w:r>
      <w:proofErr w:type="spellStart"/>
      <w:r>
        <w:rPr>
          <w:color w:val="333333"/>
        </w:rPr>
        <w:t>HealthSpot</w:t>
      </w:r>
      <w:proofErr w:type="spellEnd"/>
      <w:r>
        <w:rPr>
          <w:color w:val="333333"/>
        </w:rPr>
        <w:t xml:space="preserve"> is dedicated to supporting young people aged 11–19 (up to 25 where additional needs exist).</w:t>
      </w:r>
    </w:p>
    <w:p w14:paraId="5549F81F" w14:textId="77777777" w:rsidR="005104D8" w:rsidRDefault="00FB0300">
      <w:pPr>
        <w:spacing w:after="120"/>
      </w:pPr>
      <w:r>
        <w:rPr>
          <w:color w:val="333333"/>
        </w:rPr>
        <w:t>The model has been successfully replicated across East London, including in Hackney and Newham. In Hackney, the first-year pilot delivered over 800 appointments and received 256 referrals. The service reached highly vulnerable populations: 57% had a social care history, 29% had special educational needs, and 40% were eligible for free school meals. Satisfaction was outstanding, with 92% rating the service “Good” or “Excellent” and 95% stating they would return.</w:t>
      </w:r>
    </w:p>
    <w:p w14:paraId="11C095AE" w14:textId="77777777" w:rsidR="005104D8" w:rsidRDefault="00FB0300">
      <w:pPr>
        <w:spacing w:after="120"/>
      </w:pPr>
      <w:r>
        <w:rPr>
          <w:color w:val="333333"/>
        </w:rPr>
        <w:t xml:space="preserve">The </w:t>
      </w:r>
      <w:proofErr w:type="spellStart"/>
      <w:r>
        <w:rPr>
          <w:color w:val="333333"/>
        </w:rPr>
        <w:t>HealthSpot</w:t>
      </w:r>
      <w:proofErr w:type="spellEnd"/>
      <w:r>
        <w:rPr>
          <w:color w:val="333333"/>
        </w:rPr>
        <w:t xml:space="preserve"> model aligns directly with the Youth Matters commitment to build or refurbish up to 250 youth facilities and launch 50 Young Futures Hubs by 2029. The partnership opportunity is to position </w:t>
      </w:r>
      <w:proofErr w:type="spellStart"/>
      <w:r>
        <w:rPr>
          <w:color w:val="333333"/>
        </w:rPr>
        <w:t>HealthSpot</w:t>
      </w:r>
      <w:proofErr w:type="spellEnd"/>
      <w:r>
        <w:rPr>
          <w:color w:val="333333"/>
        </w:rPr>
        <w:t>-style GP hubs as the health delivery arm within these new and existing youth facilities.</w:t>
      </w:r>
    </w:p>
    <w:p w14:paraId="243AF494"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5.2 Youth Clubs as Health Settings</w:t>
      </w:r>
    </w:p>
    <w:p w14:paraId="04C5865F" w14:textId="77777777" w:rsidR="005104D8" w:rsidRDefault="00FB0300">
      <w:pPr>
        <w:spacing w:after="120"/>
      </w:pPr>
      <w:r>
        <w:rPr>
          <w:color w:val="333333"/>
        </w:rPr>
        <w:t>Youth clubs are where young people already are. They are trusted, familiar, and free from the stigma and access barriers that prevent many young people from engaging with traditional health services. The Sure Start model does not ask young people to come to the NHS; it brings the NHS to the places young people choose to be.</w:t>
      </w:r>
    </w:p>
    <w:p w14:paraId="28C08B42" w14:textId="77777777" w:rsidR="005104D8" w:rsidRDefault="00FB0300">
      <w:pPr>
        <w:spacing w:after="120"/>
      </w:pPr>
      <w:r>
        <w:rPr>
          <w:color w:val="333333"/>
        </w:rPr>
        <w:t>Each participating youth club or community space becomes a node in the neighbourhood health network, offering:</w:t>
      </w:r>
    </w:p>
    <w:p w14:paraId="7DAB24E9" w14:textId="77777777" w:rsidR="005104D8" w:rsidRDefault="00FB0300">
      <w:pPr>
        <w:pBdr>
          <w:top w:val="nil"/>
          <w:left w:val="nil"/>
          <w:bottom w:val="nil"/>
          <w:right w:val="nil"/>
          <w:between w:val="nil"/>
        </w:pBdr>
        <w:spacing w:after="80"/>
        <w:rPr>
          <w:color w:val="000000"/>
        </w:rPr>
      </w:pPr>
      <w:r>
        <w:rPr>
          <w:color w:val="333333"/>
        </w:rPr>
        <w:t>Extended GP sessions at times that work for young people (evenings, weekends)</w:t>
      </w:r>
    </w:p>
    <w:p w14:paraId="29B3F8DB" w14:textId="77777777" w:rsidR="005104D8" w:rsidRDefault="00FB0300">
      <w:pPr>
        <w:pBdr>
          <w:top w:val="nil"/>
          <w:left w:val="nil"/>
          <w:bottom w:val="nil"/>
          <w:right w:val="nil"/>
          <w:between w:val="nil"/>
        </w:pBdr>
        <w:spacing w:after="80"/>
        <w:rPr>
          <w:color w:val="000000"/>
        </w:rPr>
      </w:pPr>
      <w:r>
        <w:rPr>
          <w:color w:val="333333"/>
        </w:rPr>
        <w:t>Youth worker-supported health consultations and referral navigation</w:t>
      </w:r>
    </w:p>
    <w:p w14:paraId="785EA6EC" w14:textId="77777777" w:rsidR="005104D8" w:rsidRDefault="00FB0300">
      <w:pPr>
        <w:pBdr>
          <w:top w:val="nil"/>
          <w:left w:val="nil"/>
          <w:bottom w:val="nil"/>
          <w:right w:val="nil"/>
          <w:between w:val="nil"/>
        </w:pBdr>
        <w:spacing w:after="80"/>
        <w:rPr>
          <w:color w:val="000000"/>
        </w:rPr>
      </w:pPr>
      <w:r>
        <w:rPr>
          <w:color w:val="333333"/>
        </w:rPr>
        <w:t>Sexual health, mental health and wellbeing drop-in support</w:t>
      </w:r>
    </w:p>
    <w:p w14:paraId="6236A2DE" w14:textId="77777777" w:rsidR="005104D8" w:rsidRDefault="00FB0300">
      <w:pPr>
        <w:pBdr>
          <w:top w:val="nil"/>
          <w:left w:val="nil"/>
          <w:bottom w:val="nil"/>
          <w:right w:val="nil"/>
          <w:between w:val="nil"/>
        </w:pBdr>
        <w:spacing w:after="80"/>
        <w:rPr>
          <w:color w:val="000000"/>
        </w:rPr>
      </w:pPr>
      <w:r>
        <w:rPr>
          <w:color w:val="333333"/>
        </w:rPr>
        <w:t>DHP onboarding and digital self-management coaching</w:t>
      </w:r>
    </w:p>
    <w:p w14:paraId="65131781" w14:textId="77777777" w:rsidR="005104D8" w:rsidRDefault="00FB0300">
      <w:pPr>
        <w:pBdr>
          <w:top w:val="nil"/>
          <w:left w:val="nil"/>
          <w:bottom w:val="nil"/>
          <w:right w:val="nil"/>
          <w:between w:val="nil"/>
        </w:pBdr>
        <w:spacing w:after="80"/>
        <w:rPr>
          <w:color w:val="000000"/>
        </w:rPr>
      </w:pPr>
      <w:r>
        <w:rPr>
          <w:color w:val="333333"/>
        </w:rPr>
        <w:t>Social prescribing and signposting to local services via the DHP “My Area” function</w:t>
      </w:r>
    </w:p>
    <w:p w14:paraId="2879AF8B"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5.3 Schools as Neighbourhood Health Hubs — The Bradford Exemplar</w:t>
      </w:r>
    </w:p>
    <w:p w14:paraId="5F502EC0" w14:textId="77777777" w:rsidR="005104D8" w:rsidRDefault="00FB0300">
      <w:pPr>
        <w:spacing w:after="120"/>
      </w:pPr>
      <w:r>
        <w:rPr>
          <w:color w:val="333333"/>
        </w:rPr>
        <w:t>While youth clubs provide a vital access point for many young people, schools remain the one setting that reaches almost every child, particularly in areas of deprivation. In Bradford, this principle is being put into practice through an emerging model of school-based health hubs, led by local partners including the Education Alliance for Life Chances.</w:t>
      </w:r>
    </w:p>
    <w:p w14:paraId="221E71FD" w14:textId="77777777" w:rsidR="005104D8" w:rsidRDefault="00FB0300">
      <w:pPr>
        <w:spacing w:after="120"/>
      </w:pPr>
      <w:r>
        <w:rPr>
          <w:color w:val="333333"/>
        </w:rPr>
        <w:t>Under the leadership of Kathryn Loftus, this approach recognises a simple but often overlooked truth: young people with long-term conditions or additional needs are far more likely to engage with support when it is brought to them in familiar, trusted environments rather than expecting them to navigate complex or out of reach health systems.</w:t>
      </w:r>
    </w:p>
    <w:p w14:paraId="0507C284" w14:textId="77777777" w:rsidR="005104D8" w:rsidRDefault="00FB0300">
      <w:pPr>
        <w:spacing w:after="120"/>
      </w:pPr>
      <w:r>
        <w:rPr>
          <w:color w:val="333333"/>
        </w:rPr>
        <w:t>The Bradford model tailors provision at a postcode and catchment level, reflecting the specific needs of each school community. In practice, this means:</w:t>
      </w:r>
    </w:p>
    <w:p w14:paraId="15BDFFFF" w14:textId="77777777" w:rsidR="005104D8" w:rsidRDefault="00FB0300">
      <w:pPr>
        <w:pBdr>
          <w:top w:val="nil"/>
          <w:left w:val="nil"/>
          <w:bottom w:val="nil"/>
          <w:right w:val="nil"/>
          <w:between w:val="nil"/>
        </w:pBdr>
        <w:spacing w:after="80"/>
        <w:rPr>
          <w:color w:val="000000"/>
        </w:rPr>
      </w:pPr>
      <w:r>
        <w:rPr>
          <w:color w:val="333333"/>
        </w:rPr>
        <w:t>Health professionals working directly within schools, alongside pastoral teams</w:t>
      </w:r>
    </w:p>
    <w:p w14:paraId="35129C66" w14:textId="77777777" w:rsidR="005104D8" w:rsidRDefault="00FB0300">
      <w:pPr>
        <w:pBdr>
          <w:top w:val="nil"/>
          <w:left w:val="nil"/>
          <w:bottom w:val="nil"/>
          <w:right w:val="nil"/>
          <w:between w:val="nil"/>
        </w:pBdr>
        <w:spacing w:after="80"/>
        <w:rPr>
          <w:color w:val="000000"/>
        </w:rPr>
      </w:pPr>
      <w:r>
        <w:rPr>
          <w:color w:val="333333"/>
        </w:rPr>
        <w:t>Targeted support for young people with long-term conditions, SEND, or unmet health needs</w:t>
      </w:r>
    </w:p>
    <w:p w14:paraId="2606C8D4" w14:textId="77777777" w:rsidR="005104D8" w:rsidRDefault="00FB0300">
      <w:pPr>
        <w:pBdr>
          <w:top w:val="nil"/>
          <w:left w:val="nil"/>
          <w:bottom w:val="nil"/>
          <w:right w:val="nil"/>
          <w:between w:val="nil"/>
        </w:pBdr>
        <w:spacing w:after="80"/>
        <w:rPr>
          <w:color w:val="000000"/>
        </w:rPr>
      </w:pPr>
      <w:r>
        <w:rPr>
          <w:color w:val="333333"/>
        </w:rPr>
        <w:t>Early identification and intervention based on local population need</w:t>
      </w:r>
    </w:p>
    <w:p w14:paraId="6D532356" w14:textId="77777777" w:rsidR="005104D8" w:rsidRDefault="00FB0300">
      <w:pPr>
        <w:pBdr>
          <w:top w:val="nil"/>
          <w:left w:val="nil"/>
          <w:bottom w:val="nil"/>
          <w:right w:val="nil"/>
          <w:between w:val="nil"/>
        </w:pBdr>
        <w:spacing w:after="80"/>
        <w:rPr>
          <w:color w:val="000000"/>
        </w:rPr>
      </w:pPr>
      <w:r>
        <w:rPr>
          <w:color w:val="333333"/>
        </w:rPr>
        <w:t>Integration with wider initiatives such as Living Well Schools and local public health priorities</w:t>
      </w:r>
    </w:p>
    <w:p w14:paraId="297F8E88" w14:textId="77777777" w:rsidR="005104D8" w:rsidRDefault="00FB0300">
      <w:pPr>
        <w:spacing w:after="120"/>
      </w:pPr>
      <w:r>
        <w:rPr>
          <w:color w:val="333333"/>
        </w:rPr>
        <w:t>This is particularly powerful in communities where barriers to access are highest including transport, parental availability, digital exclusion, and confidence in navigating services.</w:t>
      </w:r>
    </w:p>
    <w:p w14:paraId="1D8BCDA7" w14:textId="77777777" w:rsidR="005104D8" w:rsidRDefault="00FB0300">
      <w:pPr>
        <w:spacing w:after="120"/>
      </w:pPr>
      <w:r>
        <w:rPr>
          <w:color w:val="333333"/>
        </w:rPr>
        <w:lastRenderedPageBreak/>
        <w:t>The model aligns closely with the Sure Start for Teenagers framework:</w:t>
      </w:r>
    </w:p>
    <w:p w14:paraId="175D35C5" w14:textId="77777777" w:rsidR="005104D8" w:rsidRDefault="00FB0300">
      <w:pPr>
        <w:pBdr>
          <w:top w:val="nil"/>
          <w:left w:val="nil"/>
          <w:bottom w:val="nil"/>
          <w:right w:val="nil"/>
          <w:between w:val="nil"/>
        </w:pBdr>
        <w:spacing w:after="80"/>
        <w:rPr>
          <w:color w:val="000000"/>
        </w:rPr>
      </w:pPr>
      <w:r>
        <w:rPr>
          <w:b/>
          <w:bCs/>
          <w:color w:val="333333"/>
        </w:rPr>
        <w:t xml:space="preserve">People: </w:t>
      </w:r>
      <w:r>
        <w:rPr>
          <w:color w:val="333333"/>
        </w:rPr>
        <w:t>Trusted relationships between school staff, health professionals, and families</w:t>
      </w:r>
    </w:p>
    <w:p w14:paraId="6DE47F96" w14:textId="77777777" w:rsidR="005104D8" w:rsidRDefault="00FB0300">
      <w:pPr>
        <w:pBdr>
          <w:top w:val="nil"/>
          <w:left w:val="nil"/>
          <w:bottom w:val="nil"/>
          <w:right w:val="nil"/>
          <w:between w:val="nil"/>
        </w:pBdr>
        <w:spacing w:after="80"/>
        <w:rPr>
          <w:color w:val="000000"/>
        </w:rPr>
      </w:pPr>
      <w:r>
        <w:rPr>
          <w:b/>
          <w:bCs/>
          <w:color w:val="333333"/>
        </w:rPr>
        <w:t xml:space="preserve">Places: </w:t>
      </w:r>
      <w:r>
        <w:rPr>
          <w:color w:val="333333"/>
        </w:rPr>
        <w:t>Schools as accessible, stigma-free health environments</w:t>
      </w:r>
    </w:p>
    <w:p w14:paraId="71FF8018" w14:textId="77777777" w:rsidR="005104D8" w:rsidRDefault="00FB0300">
      <w:pPr>
        <w:pBdr>
          <w:top w:val="nil"/>
          <w:left w:val="nil"/>
          <w:bottom w:val="nil"/>
          <w:right w:val="nil"/>
          <w:between w:val="nil"/>
        </w:pBdr>
        <w:spacing w:after="80"/>
        <w:rPr>
          <w:color w:val="000000"/>
        </w:rPr>
      </w:pPr>
      <w:r>
        <w:rPr>
          <w:b/>
          <w:bCs/>
          <w:color w:val="333333"/>
        </w:rPr>
        <w:t xml:space="preserve">Digital: </w:t>
      </w:r>
      <w:r>
        <w:rPr>
          <w:color w:val="333333"/>
        </w:rPr>
        <w:t>The Digital Health Passport providing continuity beyond the school gate</w:t>
      </w:r>
    </w:p>
    <w:p w14:paraId="71E21A6B" w14:textId="77777777" w:rsidR="005104D8" w:rsidRDefault="00FB0300">
      <w:pPr>
        <w:spacing w:after="120"/>
      </w:pPr>
      <w:r>
        <w:rPr>
          <w:color w:val="333333"/>
        </w:rPr>
        <w:t>In this context, the DHP acts as the connector ensuring that care plans, self-management tools, and local services travel with the young person across settings: school, home, GP, and community services.</w:t>
      </w:r>
    </w:p>
    <w:p w14:paraId="0A1C64E6" w14:textId="77777777" w:rsidR="005104D8" w:rsidRDefault="00FB0300">
      <w:pPr>
        <w:spacing w:after="120"/>
      </w:pPr>
      <w:r>
        <w:rPr>
          <w:color w:val="333333"/>
        </w:rPr>
        <w:t>Bradford’s school health hub approach demonstrates how neighbourhood-based models can be adapted to local context and offers a scalable template for systems seeking to deliver neighbourhood health through schools as well as community settings.</w:t>
      </w:r>
    </w:p>
    <w:p w14:paraId="7E577FED"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t>6. GP and Community Trust Integration</w:t>
      </w:r>
    </w:p>
    <w:p w14:paraId="7DD3A606" w14:textId="77777777" w:rsidR="005104D8" w:rsidRDefault="00FB0300">
      <w:pPr>
        <w:spacing w:after="120"/>
      </w:pPr>
      <w:r>
        <w:rPr>
          <w:color w:val="333333"/>
        </w:rPr>
        <w:t>The practical question every ICB planning team will ask is: how does this connect to what we already have?</w:t>
      </w:r>
    </w:p>
    <w:p w14:paraId="3B9528D8" w14:textId="77777777" w:rsidR="005104D8" w:rsidRDefault="00FB0300">
      <w:pPr>
        <w:spacing w:after="120"/>
      </w:pPr>
      <w:r>
        <w:rPr>
          <w:color w:val="333333"/>
        </w:rPr>
        <w:t>The answer is: sequentially, starting simple and building outward.</w:t>
      </w:r>
    </w:p>
    <w:p w14:paraId="644CB943"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6.1 The Greenfield Principle</w:t>
      </w:r>
    </w:p>
    <w:p w14:paraId="6E6C3486" w14:textId="77777777" w:rsidR="005104D8" w:rsidRDefault="00FB0300">
      <w:pPr>
        <w:spacing w:after="120"/>
      </w:pPr>
      <w:r>
        <w:rPr>
          <w:color w:val="333333"/>
        </w:rPr>
        <w:t>The DHP is not a replacement for any NHS or social care clinical record system. It does not attempt to duplicate, compete with or override GP systems, community trust records, or acute EPRs. It occupies a greenfield: the patient-held self-management layer that no existing system adequately provides for young people.</w:t>
      </w:r>
    </w:p>
    <w:p w14:paraId="4827FC2E" w14:textId="77777777" w:rsidR="005104D8" w:rsidRDefault="00FB0300">
      <w:pPr>
        <w:spacing w:after="120"/>
      </w:pPr>
      <w:proofErr w:type="gramStart"/>
      <w:r>
        <w:rPr>
          <w:color w:val="333333"/>
        </w:rPr>
        <w:t>This greenfield holds</w:t>
      </w:r>
      <w:proofErr w:type="gramEnd"/>
      <w:r>
        <w:rPr>
          <w:color w:val="333333"/>
        </w:rPr>
        <w:t>:</w:t>
      </w:r>
    </w:p>
    <w:p w14:paraId="41024229" w14:textId="77777777" w:rsidR="005104D8" w:rsidRDefault="00FB0300">
      <w:pPr>
        <w:pBdr>
          <w:top w:val="nil"/>
          <w:left w:val="nil"/>
          <w:bottom w:val="nil"/>
          <w:right w:val="nil"/>
          <w:between w:val="nil"/>
        </w:pBdr>
        <w:spacing w:after="80"/>
        <w:rPr>
          <w:color w:val="000000"/>
        </w:rPr>
      </w:pPr>
      <w:r>
        <w:rPr>
          <w:color w:val="333333"/>
        </w:rPr>
        <w:t>Clinician-approved care and emergency plans</w:t>
      </w:r>
    </w:p>
    <w:p w14:paraId="0EB0E362" w14:textId="77777777" w:rsidR="005104D8" w:rsidRDefault="00FB0300">
      <w:pPr>
        <w:pBdr>
          <w:top w:val="nil"/>
          <w:left w:val="nil"/>
          <w:bottom w:val="nil"/>
          <w:right w:val="nil"/>
          <w:between w:val="nil"/>
        </w:pBdr>
        <w:spacing w:after="80"/>
        <w:rPr>
          <w:color w:val="000000"/>
        </w:rPr>
      </w:pPr>
      <w:r>
        <w:rPr>
          <w:color w:val="333333"/>
        </w:rPr>
        <w:t>Self-management goals, coaching and education</w:t>
      </w:r>
    </w:p>
    <w:p w14:paraId="330FDAD4" w14:textId="77777777" w:rsidR="005104D8" w:rsidRDefault="00FB0300">
      <w:pPr>
        <w:pBdr>
          <w:top w:val="nil"/>
          <w:left w:val="nil"/>
          <w:bottom w:val="nil"/>
          <w:right w:val="nil"/>
          <w:between w:val="nil"/>
        </w:pBdr>
        <w:spacing w:after="80"/>
        <w:rPr>
          <w:color w:val="000000"/>
        </w:rPr>
      </w:pPr>
      <w:r>
        <w:rPr>
          <w:color w:val="333333"/>
        </w:rPr>
        <w:t>Medication reminders and adherence support</w:t>
      </w:r>
    </w:p>
    <w:p w14:paraId="024AC1A6" w14:textId="77777777" w:rsidR="005104D8" w:rsidRDefault="00FB0300">
      <w:pPr>
        <w:pBdr>
          <w:top w:val="nil"/>
          <w:left w:val="nil"/>
          <w:bottom w:val="nil"/>
          <w:right w:val="nil"/>
          <w:between w:val="nil"/>
        </w:pBdr>
        <w:spacing w:after="80"/>
        <w:rPr>
          <w:color w:val="000000"/>
        </w:rPr>
      </w:pPr>
      <w:r>
        <w:rPr>
          <w:color w:val="333333"/>
        </w:rPr>
        <w:t>Health and wellbeing tracking (including validated patient-reported outcome measures)</w:t>
      </w:r>
    </w:p>
    <w:p w14:paraId="08F3AD7D" w14:textId="77777777" w:rsidR="005104D8" w:rsidRDefault="00FB0300">
      <w:pPr>
        <w:pBdr>
          <w:top w:val="nil"/>
          <w:left w:val="nil"/>
          <w:bottom w:val="nil"/>
          <w:right w:val="nil"/>
          <w:between w:val="nil"/>
        </w:pBdr>
        <w:spacing w:after="80"/>
        <w:rPr>
          <w:color w:val="000000"/>
        </w:rPr>
      </w:pPr>
      <w:r>
        <w:rPr>
          <w:color w:val="333333"/>
        </w:rPr>
        <w:t>Environmental risk alerts (air quality, pollen, weather)</w:t>
      </w:r>
    </w:p>
    <w:p w14:paraId="07534006" w14:textId="77777777" w:rsidR="005104D8" w:rsidRDefault="00FB0300">
      <w:pPr>
        <w:pBdr>
          <w:top w:val="nil"/>
          <w:left w:val="nil"/>
          <w:bottom w:val="nil"/>
          <w:right w:val="nil"/>
          <w:between w:val="nil"/>
        </w:pBdr>
        <w:spacing w:after="80"/>
        <w:rPr>
          <w:color w:val="000000"/>
        </w:rPr>
      </w:pPr>
      <w:r>
        <w:rPr>
          <w:color w:val="333333"/>
        </w:rPr>
        <w:t>Localised service information and signposting</w:t>
      </w:r>
    </w:p>
    <w:p w14:paraId="1FCBE5B6" w14:textId="77777777" w:rsidR="005104D8" w:rsidRDefault="00FB0300">
      <w:pPr>
        <w:spacing w:after="120"/>
      </w:pPr>
      <w:r>
        <w:rPr>
          <w:color w:val="333333"/>
        </w:rPr>
        <w:t>Every element is focused on self-management and is controlled by the young person. It is the simple part, done well, on clean ground.</w:t>
      </w:r>
    </w:p>
    <w:p w14:paraId="6C3842E5"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6.2 Sequential Integration</w:t>
      </w:r>
    </w:p>
    <w:p w14:paraId="456B44F3" w14:textId="77777777" w:rsidR="005104D8" w:rsidRDefault="00FB0300">
      <w:pPr>
        <w:spacing w:after="120"/>
      </w:pPr>
      <w:r>
        <w:rPr>
          <w:color w:val="333333"/>
        </w:rPr>
        <w:t>Once the greenfield is established and working, it connects outward in a planned sequence:</w:t>
      </w:r>
    </w:p>
    <w:p w14:paraId="3F40FE90" w14:textId="77777777" w:rsidR="005104D8" w:rsidRDefault="00FB0300">
      <w:pPr>
        <w:pBdr>
          <w:top w:val="nil"/>
          <w:left w:val="nil"/>
          <w:bottom w:val="nil"/>
          <w:right w:val="nil"/>
          <w:between w:val="nil"/>
        </w:pBdr>
        <w:spacing w:before="200" w:after="120"/>
        <w:rPr>
          <w:color w:val="1F4D78"/>
          <w:sz w:val="24"/>
          <w:szCs w:val="24"/>
        </w:rPr>
      </w:pPr>
      <w:r>
        <w:rPr>
          <w:b/>
          <w:bCs/>
          <w:color w:val="1F4E79"/>
          <w:sz w:val="24"/>
          <w:szCs w:val="24"/>
        </w:rPr>
        <w:t>Phase 1: Standalone</w:t>
      </w:r>
    </w:p>
    <w:p w14:paraId="3B729D73" w14:textId="77777777" w:rsidR="005104D8" w:rsidRDefault="00FB0300">
      <w:pPr>
        <w:spacing w:after="120"/>
      </w:pPr>
      <w:r>
        <w:rPr>
          <w:color w:val="333333"/>
        </w:rPr>
        <w:t>The DHP operates as a standalone self-management platform. Young people create accounts, clinicians populate care plans through the DHP’s clinician portal, and youth workers support onboarding. No integration with existing systems is required at this stage. This can be deployed within weeks.</w:t>
      </w:r>
    </w:p>
    <w:p w14:paraId="370F1507" w14:textId="77777777" w:rsidR="005104D8" w:rsidRDefault="00FB0300">
      <w:pPr>
        <w:pBdr>
          <w:top w:val="nil"/>
          <w:left w:val="nil"/>
          <w:bottom w:val="nil"/>
          <w:right w:val="nil"/>
          <w:between w:val="nil"/>
        </w:pBdr>
        <w:spacing w:before="200" w:after="120"/>
        <w:rPr>
          <w:color w:val="1F4D78"/>
          <w:sz w:val="24"/>
          <w:szCs w:val="24"/>
        </w:rPr>
      </w:pPr>
      <w:r>
        <w:rPr>
          <w:b/>
          <w:bCs/>
          <w:color w:val="1F4E79"/>
          <w:sz w:val="24"/>
          <w:szCs w:val="24"/>
        </w:rPr>
        <w:t>Phase 2: GP System Connection</w:t>
      </w:r>
    </w:p>
    <w:p w14:paraId="58A6759F" w14:textId="77777777" w:rsidR="005104D8" w:rsidRDefault="00FB0300">
      <w:pPr>
        <w:spacing w:after="120"/>
      </w:pPr>
      <w:r>
        <w:rPr>
          <w:color w:val="333333"/>
        </w:rPr>
        <w:t xml:space="preserve">The DHP connects to GP systems through standard NHS interoperability frameworks. Care plans created or updated in the DHP become visible within the registered GP’s clinical system. This means the </w:t>
      </w:r>
      <w:proofErr w:type="spellStart"/>
      <w:r>
        <w:rPr>
          <w:color w:val="333333"/>
        </w:rPr>
        <w:t>HealthSpot</w:t>
      </w:r>
      <w:proofErr w:type="spellEnd"/>
      <w:r>
        <w:rPr>
          <w:color w:val="333333"/>
        </w:rPr>
        <w:t xml:space="preserve"> GP working in a youth club can create a care plan that </w:t>
      </w:r>
      <w:r>
        <w:rPr>
          <w:color w:val="333333"/>
        </w:rPr>
        <w:lastRenderedPageBreak/>
        <w:t>the young person’s registered GP can see the next morning. The connection is read-write where appropriate, enabling GPs to update care plans from their own system.</w:t>
      </w:r>
    </w:p>
    <w:p w14:paraId="04FB4AED" w14:textId="77777777" w:rsidR="005104D8" w:rsidRDefault="00FB0300">
      <w:pPr>
        <w:pBdr>
          <w:top w:val="nil"/>
          <w:left w:val="nil"/>
          <w:bottom w:val="nil"/>
          <w:right w:val="nil"/>
          <w:between w:val="nil"/>
        </w:pBdr>
        <w:spacing w:before="200" w:after="120"/>
        <w:rPr>
          <w:color w:val="1F4D78"/>
          <w:sz w:val="24"/>
          <w:szCs w:val="24"/>
        </w:rPr>
      </w:pPr>
      <w:r>
        <w:rPr>
          <w:b/>
          <w:bCs/>
          <w:color w:val="1F4E79"/>
          <w:sz w:val="24"/>
          <w:szCs w:val="24"/>
        </w:rPr>
        <w:t>Phase 3: Community Trust Connection</w:t>
      </w:r>
    </w:p>
    <w:p w14:paraId="37762ABC" w14:textId="77777777" w:rsidR="005104D8" w:rsidRDefault="00FB0300">
      <w:pPr>
        <w:spacing w:after="120"/>
      </w:pPr>
      <w:r>
        <w:rPr>
          <w:color w:val="333333"/>
        </w:rPr>
        <w:t>The DHP extends its connectivity to community trust providers. A young person’s consented care plan — including emergency protocols, self-management goals, and transition plans — becomes visible to any community provider the young person authorises. This is the layer that solves Jayden’s problem: multiple providers, one shared view, controlled by the young person.</w:t>
      </w:r>
    </w:p>
    <w:p w14:paraId="4B523075" w14:textId="77777777" w:rsidR="005104D8" w:rsidRDefault="00FB0300">
      <w:pPr>
        <w:pBdr>
          <w:top w:val="nil"/>
          <w:left w:val="nil"/>
          <w:bottom w:val="nil"/>
          <w:right w:val="nil"/>
          <w:between w:val="nil"/>
        </w:pBdr>
        <w:spacing w:before="200" w:after="120"/>
        <w:rPr>
          <w:color w:val="1F4D78"/>
          <w:sz w:val="24"/>
          <w:szCs w:val="24"/>
        </w:rPr>
      </w:pPr>
      <w:r>
        <w:rPr>
          <w:b/>
          <w:bCs/>
          <w:color w:val="1F4E79"/>
          <w:sz w:val="24"/>
          <w:szCs w:val="24"/>
        </w:rPr>
        <w:t>Phase 4: Acute Trust and National Architecture</w:t>
      </w:r>
    </w:p>
    <w:p w14:paraId="2B19E141" w14:textId="77777777" w:rsidR="005104D8" w:rsidRDefault="00FB0300">
      <w:pPr>
        <w:spacing w:after="120"/>
      </w:pPr>
      <w:r>
        <w:rPr>
          <w:color w:val="333333"/>
        </w:rPr>
        <w:t>As the NHS single patient record architecture develops, the DHP is designed to connect into it. The DHP’s data model is standards-based and designed for interoperability. It does not seek to become the single patient record; it contributes the self-management layer that the single patient record currently lacks.</w:t>
      </w:r>
    </w:p>
    <w:p w14:paraId="1AE351E8"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t>7. Digital — The Digital Health Passport</w:t>
      </w:r>
    </w:p>
    <w:p w14:paraId="1DC9FC36"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7.1 Platform Overview</w:t>
      </w:r>
    </w:p>
    <w:p w14:paraId="68DD6FAB" w14:textId="77777777" w:rsidR="005104D8" w:rsidRDefault="00FB0300">
      <w:pPr>
        <w:spacing w:after="120"/>
      </w:pPr>
      <w:r>
        <w:rPr>
          <w:color w:val="333333"/>
        </w:rPr>
        <w:t>The Digital Health Passport is a young person–controlled self-management platform designed to sit alongside — not replace — existing NHS clinical systems. It provides:</w:t>
      </w:r>
    </w:p>
    <w:p w14:paraId="1211DAFA" w14:textId="77777777" w:rsidR="005104D8" w:rsidRDefault="00FB0300">
      <w:pPr>
        <w:pBdr>
          <w:top w:val="nil"/>
          <w:left w:val="nil"/>
          <w:bottom w:val="nil"/>
          <w:right w:val="nil"/>
          <w:between w:val="nil"/>
        </w:pBdr>
        <w:spacing w:after="80"/>
        <w:rPr>
          <w:color w:val="000000"/>
        </w:rPr>
      </w:pPr>
      <w:r>
        <w:rPr>
          <w:color w:val="333333"/>
        </w:rPr>
        <w:t>Clinician-approved care plans and emergency protocols, viewable by consented professionals</w:t>
      </w:r>
    </w:p>
    <w:p w14:paraId="520A52DB" w14:textId="77777777" w:rsidR="005104D8" w:rsidRDefault="00FB0300">
      <w:pPr>
        <w:pBdr>
          <w:top w:val="nil"/>
          <w:left w:val="nil"/>
          <w:bottom w:val="nil"/>
          <w:right w:val="nil"/>
          <w:between w:val="nil"/>
        </w:pBdr>
        <w:spacing w:after="80"/>
        <w:rPr>
          <w:color w:val="000000"/>
        </w:rPr>
      </w:pPr>
      <w:r>
        <w:rPr>
          <w:color w:val="333333"/>
        </w:rPr>
        <w:t>Medication reminders, adherence tracking, and coaching</w:t>
      </w:r>
    </w:p>
    <w:p w14:paraId="71197193" w14:textId="77777777" w:rsidR="005104D8" w:rsidRDefault="00FB0300">
      <w:pPr>
        <w:pBdr>
          <w:top w:val="nil"/>
          <w:left w:val="nil"/>
          <w:bottom w:val="nil"/>
          <w:right w:val="nil"/>
          <w:between w:val="nil"/>
        </w:pBdr>
        <w:spacing w:after="80"/>
        <w:rPr>
          <w:color w:val="000000"/>
        </w:rPr>
      </w:pPr>
      <w:r>
        <w:rPr>
          <w:color w:val="333333"/>
        </w:rPr>
        <w:t>Health and wellbeing tracking using validated patient-reported outcome measures</w:t>
      </w:r>
    </w:p>
    <w:p w14:paraId="78270252" w14:textId="77777777" w:rsidR="005104D8" w:rsidRDefault="00FB0300">
      <w:pPr>
        <w:pBdr>
          <w:top w:val="nil"/>
          <w:left w:val="nil"/>
          <w:bottom w:val="nil"/>
          <w:right w:val="nil"/>
          <w:between w:val="nil"/>
        </w:pBdr>
        <w:spacing w:after="80"/>
        <w:rPr>
          <w:color w:val="000000"/>
        </w:rPr>
      </w:pPr>
      <w:r>
        <w:rPr>
          <w:color w:val="333333"/>
        </w:rPr>
        <w:t>Environmental risk alerts (air quality, pollen, weather) linked to the young person’s conditions</w:t>
      </w:r>
    </w:p>
    <w:p w14:paraId="0B90EF9D" w14:textId="77777777" w:rsidR="005104D8" w:rsidRDefault="00FB0300">
      <w:pPr>
        <w:pBdr>
          <w:top w:val="nil"/>
          <w:left w:val="nil"/>
          <w:bottom w:val="nil"/>
          <w:right w:val="nil"/>
          <w:between w:val="nil"/>
        </w:pBdr>
        <w:spacing w:after="80"/>
        <w:rPr>
          <w:color w:val="000000"/>
        </w:rPr>
      </w:pPr>
      <w:r>
        <w:rPr>
          <w:color w:val="333333"/>
        </w:rPr>
        <w:t>“My Area” — localised service information and signposting, configurable by ICB and Local Authority</w:t>
      </w:r>
    </w:p>
    <w:p w14:paraId="52451C32" w14:textId="77777777" w:rsidR="005104D8" w:rsidRDefault="00FB0300">
      <w:pPr>
        <w:pBdr>
          <w:top w:val="nil"/>
          <w:left w:val="nil"/>
          <w:bottom w:val="nil"/>
          <w:right w:val="nil"/>
          <w:between w:val="nil"/>
        </w:pBdr>
        <w:spacing w:after="80"/>
        <w:rPr>
          <w:color w:val="000000"/>
        </w:rPr>
      </w:pPr>
      <w:r>
        <w:rPr>
          <w:color w:val="333333"/>
        </w:rPr>
        <w:t>A clinician portal for care plan creation, review, and population-level analytics</w:t>
      </w:r>
    </w:p>
    <w:p w14:paraId="405792EA" w14:textId="77777777" w:rsidR="005104D8" w:rsidRDefault="00FB0300">
      <w:pPr>
        <w:pBdr>
          <w:top w:val="nil"/>
          <w:left w:val="nil"/>
          <w:bottom w:val="nil"/>
          <w:right w:val="nil"/>
          <w:between w:val="nil"/>
        </w:pBdr>
        <w:spacing w:after="80"/>
        <w:rPr>
          <w:color w:val="000000"/>
        </w:rPr>
      </w:pPr>
      <w:r>
        <w:rPr>
          <w:color w:val="333333"/>
        </w:rPr>
        <w:t>A deployment dashboard providing real-time usage data for commissioning teams</w:t>
      </w:r>
    </w:p>
    <w:p w14:paraId="7AABF24C"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7.2 NHS Login and the NHS App Ecosystem</w:t>
      </w:r>
    </w:p>
    <w:p w14:paraId="317B3EE7" w14:textId="77777777" w:rsidR="005104D8" w:rsidRDefault="00FB0300">
      <w:pPr>
        <w:spacing w:after="120"/>
      </w:pPr>
      <w:r>
        <w:rPr>
          <w:color w:val="333333"/>
        </w:rPr>
        <w:t>The DHP uses NHS Login as its authentication layer. This is a deliberate architectural choice with three important consequences:</w:t>
      </w:r>
    </w:p>
    <w:p w14:paraId="6028EFF8" w14:textId="77777777" w:rsidR="005104D8" w:rsidRDefault="00FB0300">
      <w:pPr>
        <w:pBdr>
          <w:top w:val="nil"/>
          <w:left w:val="nil"/>
          <w:bottom w:val="nil"/>
          <w:right w:val="nil"/>
          <w:between w:val="nil"/>
        </w:pBdr>
        <w:spacing w:after="80"/>
        <w:rPr>
          <w:color w:val="000000"/>
        </w:rPr>
      </w:pPr>
      <w:r>
        <w:rPr>
          <w:b/>
          <w:bCs/>
          <w:color w:val="333333"/>
        </w:rPr>
        <w:t>Single identity across the NHS</w:t>
      </w:r>
      <w:r>
        <w:rPr>
          <w:color w:val="333333"/>
        </w:rPr>
        <w:t xml:space="preserve"> — the young person uses the same verified identity they will use for the NHS App, GP online services, and any future NHS digital service. There is no separate registration, no duplicate identity, and no risk of orphaned accounts.</w:t>
      </w:r>
    </w:p>
    <w:p w14:paraId="1D8AE4F2" w14:textId="77777777" w:rsidR="005104D8" w:rsidRDefault="00FB0300">
      <w:pPr>
        <w:pBdr>
          <w:top w:val="nil"/>
          <w:left w:val="nil"/>
          <w:bottom w:val="nil"/>
          <w:right w:val="nil"/>
          <w:between w:val="nil"/>
        </w:pBdr>
        <w:spacing w:after="80"/>
        <w:rPr>
          <w:color w:val="000000"/>
        </w:rPr>
      </w:pPr>
      <w:r>
        <w:rPr>
          <w:b/>
          <w:bCs/>
          <w:color w:val="333333"/>
        </w:rPr>
        <w:t>Alignment with the 10 Year Health Plan</w:t>
      </w:r>
      <w:r>
        <w:rPr>
          <w:color w:val="333333"/>
        </w:rPr>
        <w:t xml:space="preserve"> — the NHS App is positioned as the digital front door to the NHS. The DHP connects into this ecosystem through NHS Login, meaning that as the NHS App evolves, the DHP evolves with it.</w:t>
      </w:r>
    </w:p>
    <w:p w14:paraId="747DE84F" w14:textId="77777777" w:rsidR="005104D8" w:rsidRDefault="00FB0300">
      <w:pPr>
        <w:pBdr>
          <w:top w:val="nil"/>
          <w:left w:val="nil"/>
          <w:bottom w:val="nil"/>
          <w:right w:val="nil"/>
          <w:between w:val="nil"/>
        </w:pBdr>
        <w:spacing w:after="80"/>
        <w:rPr>
          <w:color w:val="000000"/>
        </w:rPr>
      </w:pPr>
      <w:r>
        <w:rPr>
          <w:b/>
          <w:bCs/>
          <w:color w:val="333333"/>
        </w:rPr>
        <w:t>Trusted two-way linkage to community providers</w:t>
      </w:r>
      <w:r>
        <w:rPr>
          <w:color w:val="333333"/>
        </w:rPr>
        <w:t xml:space="preserve"> — because the identity is NHS Login-verified, community providers (youth hubs, community trusts, Local Authority services, VCSE organisations) can trust that the young person is who they say they are, and the young person can trust that the provider accessing their care plan is legitimately consented. This removes the identity verification barrier that prevents many community-level services from connecting digitally to the NHS.</w:t>
      </w:r>
    </w:p>
    <w:p w14:paraId="1D461B15" w14:textId="77777777" w:rsidR="005104D8" w:rsidRDefault="00FB0300">
      <w:pPr>
        <w:spacing w:after="120"/>
      </w:pPr>
      <w:r>
        <w:rPr>
          <w:color w:val="333333"/>
        </w:rPr>
        <w:lastRenderedPageBreak/>
        <w:t xml:space="preserve">Critically, whilst using the same NHS Login authentication as the NHS App, the DHP is fully customisable at a community level. ICBs and Local Authorities can configure local content, pathways, services and signposting through the CMS and “My Area” pages without any changes to national infrastructure. This means every neighbourhood, every ICB footprint and every Local Authority area can have a locally tailored self-management offer for young people that is nonetheless connected to the national NHS App front </w:t>
      </w:r>
      <w:r>
        <w:rPr>
          <w:color w:val="333333"/>
        </w:rPr>
        <w:t>door through a single, consistent authentication layer.</w:t>
      </w:r>
    </w:p>
    <w:p w14:paraId="2589BC30" w14:textId="77777777" w:rsidR="005104D8" w:rsidRDefault="00FB0300">
      <w:pPr>
        <w:spacing w:after="120"/>
      </w:pPr>
      <w:r>
        <w:rPr>
          <w:color w:val="333333"/>
        </w:rPr>
        <w:t>This is the architecture that enables the Sure Start for Teenagers model to scale nationally whilst remaining locally relevant: one lock and key, many rooms.</w:t>
      </w:r>
    </w:p>
    <w:p w14:paraId="300542D3"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7.3 Standards and Assurance</w:t>
      </w:r>
    </w:p>
    <w:p w14:paraId="54E153C5" w14:textId="77777777" w:rsidR="005104D8" w:rsidRDefault="00FB0300">
      <w:pPr>
        <w:spacing w:after="120"/>
      </w:pPr>
      <w:r>
        <w:rPr>
          <w:color w:val="333333"/>
        </w:rPr>
        <w:t xml:space="preserve">The DHP holds UKCA Class I marking (with EU MDR Class IIa </w:t>
      </w:r>
      <w:proofErr w:type="spellStart"/>
      <w:r>
        <w:rPr>
          <w:color w:val="333333"/>
        </w:rPr>
        <w:t>upclassification</w:t>
      </w:r>
      <w:proofErr w:type="spellEnd"/>
      <w:r>
        <w:rPr>
          <w:color w:val="333333"/>
        </w:rPr>
        <w:t xml:space="preserve"> in progress), is recommended by NICE, and carries the following certifications: ISO 13485 (Quality Management for Medical Devices), ISO/IEC 27001 (Information Security), Cyber Essentials Plus, DTAC (Digital Technology Assessment Criteria), and DCB0129/0160 (Clinical Safety). The platform is available on G-Cloud and can be commissioned without separate procurement.</w:t>
      </w:r>
    </w:p>
    <w:p w14:paraId="63579278"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7.4 Evidence of Impact</w:t>
      </w:r>
    </w:p>
    <w:p w14:paraId="319AE0A2" w14:textId="77777777" w:rsidR="005104D8" w:rsidRDefault="00FB0300">
      <w:pPr>
        <w:spacing w:after="120"/>
      </w:pPr>
      <w:r>
        <w:rPr>
          <w:color w:val="333333"/>
        </w:rPr>
        <w:t>The DHP has been independently evaluated by UCL Partners (Cheema &amp; Burch, 2025). Key findings include:</w:t>
      </w:r>
    </w:p>
    <w:p w14:paraId="1DA874EE" w14:textId="77777777" w:rsidR="005104D8" w:rsidRDefault="00FB0300">
      <w:pPr>
        <w:pBdr>
          <w:top w:val="nil"/>
          <w:left w:val="nil"/>
          <w:bottom w:val="nil"/>
          <w:right w:val="nil"/>
          <w:between w:val="nil"/>
        </w:pBdr>
        <w:spacing w:after="80"/>
        <w:rPr>
          <w:color w:val="000000"/>
        </w:rPr>
      </w:pPr>
      <w:r>
        <w:rPr>
          <w:color w:val="333333"/>
        </w:rPr>
        <w:t>96% user satisfaction</w:t>
      </w:r>
    </w:p>
    <w:p w14:paraId="629A8C46" w14:textId="77777777" w:rsidR="005104D8" w:rsidRDefault="00FB0300">
      <w:pPr>
        <w:pBdr>
          <w:top w:val="nil"/>
          <w:left w:val="nil"/>
          <w:bottom w:val="nil"/>
          <w:right w:val="nil"/>
          <w:between w:val="nil"/>
        </w:pBdr>
        <w:spacing w:after="80"/>
        <w:rPr>
          <w:color w:val="000000"/>
        </w:rPr>
      </w:pPr>
      <w:r>
        <w:rPr>
          <w:color w:val="333333"/>
        </w:rPr>
        <w:t>£8.21 return on investment per £1 spent over three years, driven by avoided urgent and emergency care and improved productivity</w:t>
      </w:r>
    </w:p>
    <w:p w14:paraId="5E045403" w14:textId="77777777" w:rsidR="005104D8" w:rsidRDefault="00FB0300">
      <w:pPr>
        <w:pBdr>
          <w:top w:val="nil"/>
          <w:left w:val="nil"/>
          <w:bottom w:val="nil"/>
          <w:right w:val="nil"/>
          <w:between w:val="nil"/>
        </w:pBdr>
        <w:spacing w:after="80"/>
        <w:rPr>
          <w:color w:val="000000"/>
        </w:rPr>
      </w:pPr>
      <w:r>
        <w:rPr>
          <w:color w:val="333333"/>
        </w:rPr>
        <w:t>Statistically significant improvement in asthma symptom control (2.64-point improvement on the Asthma Control Test, exceeding the age-appropriate minimally important difference of 2 points for adolescents)</w:t>
      </w:r>
    </w:p>
    <w:p w14:paraId="6717D739" w14:textId="77777777" w:rsidR="005104D8" w:rsidRDefault="00FB0300">
      <w:pPr>
        <w:pBdr>
          <w:top w:val="nil"/>
          <w:left w:val="nil"/>
          <w:bottom w:val="nil"/>
          <w:right w:val="nil"/>
          <w:between w:val="nil"/>
        </w:pBdr>
        <w:spacing w:after="80"/>
        <w:rPr>
          <w:color w:val="000000"/>
        </w:rPr>
      </w:pPr>
      <w:r>
        <w:rPr>
          <w:color w:val="333333"/>
        </w:rPr>
        <w:t>Strong reach into deprived and ethnically diverse communities, with high representation from Core20PLUS5 populations</w:t>
      </w:r>
    </w:p>
    <w:p w14:paraId="18A88146" w14:textId="77777777" w:rsidR="005104D8" w:rsidRDefault="00FB0300">
      <w:pPr>
        <w:pBdr>
          <w:top w:val="nil"/>
          <w:left w:val="nil"/>
          <w:bottom w:val="nil"/>
          <w:right w:val="nil"/>
          <w:between w:val="nil"/>
        </w:pBdr>
        <w:spacing w:after="80"/>
        <w:rPr>
          <w:color w:val="000000"/>
        </w:rPr>
      </w:pPr>
      <w:r>
        <w:rPr>
          <w:color w:val="333333"/>
        </w:rPr>
        <w:t>High engagement and intent to continue use across the cohort</w:t>
      </w:r>
    </w:p>
    <w:p w14:paraId="13740C8F"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t>8. Commissioning and Implementation</w:t>
      </w:r>
    </w:p>
    <w:p w14:paraId="66129147"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8.1 Commissioning Route</w:t>
      </w:r>
    </w:p>
    <w:p w14:paraId="715C4DFF" w14:textId="77777777" w:rsidR="005104D8" w:rsidRDefault="00FB0300">
      <w:pPr>
        <w:spacing w:after="120"/>
      </w:pPr>
      <w:r>
        <w:rPr>
          <w:color w:val="333333"/>
        </w:rPr>
        <w:t xml:space="preserve">The DHP is available on G-Cloud and can be commissioned per population footprint without a separate procurement exercise. Licensing is transparent, banded and scalable, supporting use by ICBs, Local Authorities, provider collaboratives and cross-system partnerships. </w:t>
      </w:r>
      <w:proofErr w:type="spellStart"/>
      <w:r>
        <w:rPr>
          <w:color w:val="333333"/>
        </w:rPr>
        <w:t>HealthSpot</w:t>
      </w:r>
      <w:proofErr w:type="spellEnd"/>
      <w:r>
        <w:rPr>
          <w:color w:val="333333"/>
        </w:rPr>
        <w:t xml:space="preserve"> commissioning follows existing extended GP access and youth service funding routes.</w:t>
      </w:r>
    </w:p>
    <w:p w14:paraId="7D291D7A"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8.2 Phased Rollout</w:t>
      </w:r>
    </w:p>
    <w:p w14:paraId="2D5CDC77" w14:textId="77777777" w:rsidR="005104D8" w:rsidRDefault="00FB0300">
      <w:pPr>
        <w:spacing w:after="120"/>
      </w:pPr>
      <w:r>
        <w:rPr>
          <w:color w:val="333333"/>
        </w:rPr>
        <w:t>The recommended approach is phased, reflecting the sequential integration model described in Section 6:</w:t>
      </w:r>
    </w:p>
    <w:tbl>
      <w:tblPr>
        <w:tblStyle w:val="a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1800"/>
        <w:gridCol w:w="6026"/>
      </w:tblGrid>
      <w:tr w:rsidR="005104D8" w14:paraId="502F6B2C" w14:textId="77777777">
        <w:tc>
          <w:tcPr>
            <w:tcW w:w="1200" w:type="dxa"/>
            <w:tcBorders>
              <w:top w:val="single" w:sz="4" w:space="0" w:color="CCCCCC"/>
              <w:left w:val="single" w:sz="4" w:space="0" w:color="CCCCCC"/>
              <w:bottom w:val="single" w:sz="4" w:space="0" w:color="CCCCCC"/>
              <w:right w:val="single" w:sz="4" w:space="0" w:color="CCCCCC"/>
            </w:tcBorders>
            <w:shd w:val="clear" w:color="auto" w:fill="1F4E79"/>
            <w:tcMar>
              <w:top w:w="60" w:type="dxa"/>
              <w:left w:w="100" w:type="dxa"/>
              <w:bottom w:w="60" w:type="dxa"/>
              <w:right w:w="100" w:type="dxa"/>
            </w:tcMar>
          </w:tcPr>
          <w:p w14:paraId="5E82808B" w14:textId="77777777" w:rsidR="005104D8" w:rsidRDefault="00FB0300">
            <w:pPr>
              <w:spacing w:after="40"/>
            </w:pPr>
            <w:r>
              <w:rPr>
                <w:b/>
                <w:bCs/>
                <w:color w:val="FFFFFF"/>
                <w:sz w:val="20"/>
                <w:szCs w:val="20"/>
              </w:rPr>
              <w:t>Phase</w:t>
            </w:r>
          </w:p>
        </w:tc>
        <w:tc>
          <w:tcPr>
            <w:tcW w:w="1800" w:type="dxa"/>
            <w:tcBorders>
              <w:top w:val="single" w:sz="4" w:space="0" w:color="CCCCCC"/>
              <w:left w:val="single" w:sz="4" w:space="0" w:color="CCCCCC"/>
              <w:bottom w:val="single" w:sz="4" w:space="0" w:color="CCCCCC"/>
              <w:right w:val="single" w:sz="4" w:space="0" w:color="CCCCCC"/>
            </w:tcBorders>
            <w:shd w:val="clear" w:color="auto" w:fill="1F4E79"/>
            <w:tcMar>
              <w:top w:w="60" w:type="dxa"/>
              <w:left w:w="100" w:type="dxa"/>
              <w:bottom w:w="60" w:type="dxa"/>
              <w:right w:w="100" w:type="dxa"/>
            </w:tcMar>
          </w:tcPr>
          <w:p w14:paraId="4F8A40FE" w14:textId="77777777" w:rsidR="005104D8" w:rsidRDefault="00FB0300">
            <w:pPr>
              <w:spacing w:after="40"/>
            </w:pPr>
            <w:r>
              <w:rPr>
                <w:b/>
                <w:bCs/>
                <w:color w:val="FFFFFF"/>
                <w:sz w:val="20"/>
                <w:szCs w:val="20"/>
              </w:rPr>
              <w:t>Timeline</w:t>
            </w:r>
          </w:p>
        </w:tc>
        <w:tc>
          <w:tcPr>
            <w:tcW w:w="6026" w:type="dxa"/>
            <w:tcBorders>
              <w:top w:val="single" w:sz="4" w:space="0" w:color="CCCCCC"/>
              <w:left w:val="single" w:sz="4" w:space="0" w:color="CCCCCC"/>
              <w:bottom w:val="single" w:sz="4" w:space="0" w:color="CCCCCC"/>
              <w:right w:val="single" w:sz="4" w:space="0" w:color="CCCCCC"/>
            </w:tcBorders>
            <w:shd w:val="clear" w:color="auto" w:fill="1F4E79"/>
            <w:tcMar>
              <w:top w:w="60" w:type="dxa"/>
              <w:left w:w="100" w:type="dxa"/>
              <w:bottom w:w="60" w:type="dxa"/>
              <w:right w:w="100" w:type="dxa"/>
            </w:tcMar>
          </w:tcPr>
          <w:p w14:paraId="05EC2AB7" w14:textId="77777777" w:rsidR="005104D8" w:rsidRDefault="00FB0300">
            <w:pPr>
              <w:spacing w:after="40"/>
            </w:pPr>
            <w:r>
              <w:rPr>
                <w:b/>
                <w:bCs/>
                <w:color w:val="FFFFFF"/>
                <w:sz w:val="20"/>
                <w:szCs w:val="20"/>
              </w:rPr>
              <w:t>Activities</w:t>
            </w:r>
          </w:p>
        </w:tc>
      </w:tr>
      <w:tr w:rsidR="005104D8" w14:paraId="07D4551C" w14:textId="77777777">
        <w:tc>
          <w:tcPr>
            <w:tcW w:w="1200" w:type="dxa"/>
            <w:tcBorders>
              <w:top w:val="single" w:sz="4" w:space="0" w:color="CCCCCC"/>
              <w:left w:val="single" w:sz="4" w:space="0" w:color="CCCCCC"/>
              <w:bottom w:val="single" w:sz="4" w:space="0" w:color="CCCCCC"/>
              <w:right w:val="single" w:sz="4" w:space="0" w:color="CCCCCC"/>
            </w:tcBorders>
            <w:shd w:val="clear" w:color="auto" w:fill="D6E4F0"/>
            <w:tcMar>
              <w:top w:w="60" w:type="dxa"/>
              <w:left w:w="100" w:type="dxa"/>
              <w:bottom w:w="60" w:type="dxa"/>
              <w:right w:w="100" w:type="dxa"/>
            </w:tcMar>
          </w:tcPr>
          <w:p w14:paraId="462F55C5" w14:textId="77777777" w:rsidR="005104D8" w:rsidRDefault="00FB0300">
            <w:pPr>
              <w:spacing w:after="40"/>
            </w:pPr>
            <w:r>
              <w:rPr>
                <w:b/>
                <w:bCs/>
                <w:color w:val="333333"/>
                <w:sz w:val="20"/>
                <w:szCs w:val="20"/>
              </w:rPr>
              <w:t>1</w:t>
            </w:r>
          </w:p>
        </w:tc>
        <w:tc>
          <w:tcPr>
            <w:tcW w:w="1800" w:type="dxa"/>
            <w:tcBorders>
              <w:top w:val="single" w:sz="4" w:space="0" w:color="CCCCCC"/>
              <w:left w:val="single" w:sz="4" w:space="0" w:color="CCCCCC"/>
              <w:bottom w:val="single" w:sz="4" w:space="0" w:color="CCCCCC"/>
              <w:right w:val="single" w:sz="4" w:space="0" w:color="CCCCCC"/>
            </w:tcBorders>
            <w:shd w:val="clear" w:color="auto" w:fill="D6E4F0"/>
            <w:tcMar>
              <w:top w:w="60" w:type="dxa"/>
              <w:left w:w="100" w:type="dxa"/>
              <w:bottom w:w="60" w:type="dxa"/>
              <w:right w:w="100" w:type="dxa"/>
            </w:tcMar>
          </w:tcPr>
          <w:p w14:paraId="20FA37CA" w14:textId="77777777" w:rsidR="005104D8" w:rsidRDefault="00FB0300">
            <w:pPr>
              <w:spacing w:after="40"/>
            </w:pPr>
            <w:r>
              <w:rPr>
                <w:color w:val="333333"/>
                <w:sz w:val="20"/>
                <w:szCs w:val="20"/>
              </w:rPr>
              <w:t>Months 1–3</w:t>
            </w:r>
          </w:p>
        </w:tc>
        <w:tc>
          <w:tcPr>
            <w:tcW w:w="6026" w:type="dxa"/>
            <w:tcBorders>
              <w:top w:val="single" w:sz="4" w:space="0" w:color="CCCCCC"/>
              <w:left w:val="single" w:sz="4" w:space="0" w:color="CCCCCC"/>
              <w:bottom w:val="single" w:sz="4" w:space="0" w:color="CCCCCC"/>
              <w:right w:val="single" w:sz="4" w:space="0" w:color="CCCCCC"/>
            </w:tcBorders>
            <w:shd w:val="clear" w:color="auto" w:fill="D6E4F0"/>
            <w:tcMar>
              <w:top w:w="60" w:type="dxa"/>
              <w:left w:w="100" w:type="dxa"/>
              <w:bottom w:w="60" w:type="dxa"/>
              <w:right w:w="100" w:type="dxa"/>
            </w:tcMar>
          </w:tcPr>
          <w:p w14:paraId="3A3B1654" w14:textId="77777777" w:rsidR="005104D8" w:rsidRDefault="00FB0300">
            <w:pPr>
              <w:spacing w:after="40"/>
            </w:pPr>
            <w:r>
              <w:rPr>
                <w:color w:val="333333"/>
                <w:sz w:val="20"/>
                <w:szCs w:val="20"/>
              </w:rPr>
              <w:t xml:space="preserve">DHP standalone deployment. </w:t>
            </w:r>
            <w:proofErr w:type="spellStart"/>
            <w:r>
              <w:rPr>
                <w:color w:val="333333"/>
                <w:sz w:val="20"/>
                <w:szCs w:val="20"/>
              </w:rPr>
              <w:t>HealthSpot</w:t>
            </w:r>
            <w:proofErr w:type="spellEnd"/>
            <w:r>
              <w:rPr>
                <w:color w:val="333333"/>
                <w:sz w:val="20"/>
                <w:szCs w:val="20"/>
              </w:rPr>
              <w:t>-style GP sessions at 2–3 youth settings. Joint training delivery. DHP onboarding for young people and clinicians.</w:t>
            </w:r>
          </w:p>
        </w:tc>
      </w:tr>
      <w:tr w:rsidR="005104D8" w14:paraId="444D80A4" w14:textId="77777777">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77D1B64F" w14:textId="77777777" w:rsidR="005104D8" w:rsidRDefault="00FB0300">
            <w:pPr>
              <w:spacing w:after="40"/>
            </w:pPr>
            <w:r>
              <w:rPr>
                <w:b/>
                <w:bCs/>
                <w:color w:val="333333"/>
                <w:sz w:val="20"/>
                <w:szCs w:val="20"/>
              </w:rPr>
              <w:lastRenderedPageBreak/>
              <w:t>2</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434BFC2B" w14:textId="77777777" w:rsidR="005104D8" w:rsidRDefault="00FB0300">
            <w:pPr>
              <w:spacing w:after="40"/>
            </w:pPr>
            <w:r>
              <w:rPr>
                <w:color w:val="333333"/>
                <w:sz w:val="20"/>
                <w:szCs w:val="20"/>
              </w:rPr>
              <w:t>Months 3–6</w:t>
            </w:r>
          </w:p>
        </w:tc>
        <w:tc>
          <w:tcPr>
            <w:tcW w:w="60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515E70B" w14:textId="77777777" w:rsidR="005104D8" w:rsidRDefault="00FB0300">
            <w:pPr>
              <w:spacing w:after="40"/>
            </w:pPr>
            <w:r>
              <w:rPr>
                <w:color w:val="333333"/>
                <w:sz w:val="20"/>
                <w:szCs w:val="20"/>
              </w:rPr>
              <w:t>GP system connection. Care plans visible to registered GP. Deployment Dashboard analytics live for commissioning teams.</w:t>
            </w:r>
          </w:p>
        </w:tc>
      </w:tr>
      <w:tr w:rsidR="005104D8" w14:paraId="681971C9" w14:textId="77777777">
        <w:tc>
          <w:tcPr>
            <w:tcW w:w="1200" w:type="dxa"/>
            <w:tcBorders>
              <w:top w:val="single" w:sz="4" w:space="0" w:color="CCCCCC"/>
              <w:left w:val="single" w:sz="4" w:space="0" w:color="CCCCCC"/>
              <w:bottom w:val="single" w:sz="4" w:space="0" w:color="CCCCCC"/>
              <w:right w:val="single" w:sz="4" w:space="0" w:color="CCCCCC"/>
            </w:tcBorders>
            <w:shd w:val="clear" w:color="auto" w:fill="D6E4F0"/>
            <w:tcMar>
              <w:top w:w="60" w:type="dxa"/>
              <w:left w:w="100" w:type="dxa"/>
              <w:bottom w:w="60" w:type="dxa"/>
              <w:right w:w="100" w:type="dxa"/>
            </w:tcMar>
          </w:tcPr>
          <w:p w14:paraId="6C4CDFC7" w14:textId="77777777" w:rsidR="005104D8" w:rsidRDefault="00FB0300">
            <w:pPr>
              <w:spacing w:after="40"/>
            </w:pPr>
            <w:r>
              <w:rPr>
                <w:b/>
                <w:bCs/>
                <w:color w:val="333333"/>
                <w:sz w:val="20"/>
                <w:szCs w:val="20"/>
              </w:rPr>
              <w:t>3</w:t>
            </w:r>
          </w:p>
        </w:tc>
        <w:tc>
          <w:tcPr>
            <w:tcW w:w="1800" w:type="dxa"/>
            <w:tcBorders>
              <w:top w:val="single" w:sz="4" w:space="0" w:color="CCCCCC"/>
              <w:left w:val="single" w:sz="4" w:space="0" w:color="CCCCCC"/>
              <w:bottom w:val="single" w:sz="4" w:space="0" w:color="CCCCCC"/>
              <w:right w:val="single" w:sz="4" w:space="0" w:color="CCCCCC"/>
            </w:tcBorders>
            <w:shd w:val="clear" w:color="auto" w:fill="D6E4F0"/>
            <w:tcMar>
              <w:top w:w="60" w:type="dxa"/>
              <w:left w:w="100" w:type="dxa"/>
              <w:bottom w:w="60" w:type="dxa"/>
              <w:right w:w="100" w:type="dxa"/>
            </w:tcMar>
          </w:tcPr>
          <w:p w14:paraId="5C31CB14" w14:textId="77777777" w:rsidR="005104D8" w:rsidRDefault="00FB0300">
            <w:pPr>
              <w:spacing w:after="40"/>
            </w:pPr>
            <w:r>
              <w:rPr>
                <w:color w:val="333333"/>
                <w:sz w:val="20"/>
                <w:szCs w:val="20"/>
              </w:rPr>
              <w:t>Months 6–12</w:t>
            </w:r>
          </w:p>
        </w:tc>
        <w:tc>
          <w:tcPr>
            <w:tcW w:w="6026" w:type="dxa"/>
            <w:tcBorders>
              <w:top w:val="single" w:sz="4" w:space="0" w:color="CCCCCC"/>
              <w:left w:val="single" w:sz="4" w:space="0" w:color="CCCCCC"/>
              <w:bottom w:val="single" w:sz="4" w:space="0" w:color="CCCCCC"/>
              <w:right w:val="single" w:sz="4" w:space="0" w:color="CCCCCC"/>
            </w:tcBorders>
            <w:shd w:val="clear" w:color="auto" w:fill="D6E4F0"/>
            <w:tcMar>
              <w:top w:w="60" w:type="dxa"/>
              <w:left w:w="100" w:type="dxa"/>
              <w:bottom w:w="60" w:type="dxa"/>
              <w:right w:w="100" w:type="dxa"/>
            </w:tcMar>
          </w:tcPr>
          <w:p w14:paraId="7D48ACC8" w14:textId="77777777" w:rsidR="005104D8" w:rsidRDefault="00FB0300">
            <w:pPr>
              <w:spacing w:after="40"/>
            </w:pPr>
            <w:r>
              <w:rPr>
                <w:color w:val="333333"/>
                <w:sz w:val="20"/>
                <w:szCs w:val="20"/>
              </w:rPr>
              <w:t>Community trust connection. Consented care plan sharing across community providers. School nursing integration. Local Authority “My Area” content live.</w:t>
            </w:r>
          </w:p>
        </w:tc>
      </w:tr>
      <w:tr w:rsidR="005104D8" w14:paraId="74DEBC2D" w14:textId="77777777">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332F12E6" w14:textId="77777777" w:rsidR="005104D8" w:rsidRDefault="00FB0300">
            <w:pPr>
              <w:spacing w:after="40"/>
            </w:pPr>
            <w:r>
              <w:rPr>
                <w:b/>
                <w:bCs/>
                <w:color w:val="333333"/>
                <w:sz w:val="20"/>
                <w:szCs w:val="20"/>
              </w:rPr>
              <w:t>4</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2FF4C418" w14:textId="77777777" w:rsidR="005104D8" w:rsidRDefault="00FB0300">
            <w:pPr>
              <w:spacing w:after="40"/>
            </w:pPr>
            <w:r>
              <w:rPr>
                <w:color w:val="333333"/>
                <w:sz w:val="20"/>
                <w:szCs w:val="20"/>
              </w:rPr>
              <w:t>Year 2+</w:t>
            </w:r>
          </w:p>
        </w:tc>
        <w:tc>
          <w:tcPr>
            <w:tcW w:w="6026"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tcPr>
          <w:p w14:paraId="5C138B95" w14:textId="77777777" w:rsidR="005104D8" w:rsidRDefault="00FB0300">
            <w:pPr>
              <w:spacing w:after="40"/>
            </w:pPr>
            <w:r>
              <w:rPr>
                <w:color w:val="333333"/>
                <w:sz w:val="20"/>
                <w:szCs w:val="20"/>
              </w:rPr>
              <w:t>Acute trust connection. Integration with single patient record architecture as it develops. Population-level outcomes reporting for ICB assurance.</w:t>
            </w:r>
          </w:p>
        </w:tc>
      </w:tr>
    </w:tbl>
    <w:p w14:paraId="1FE5FD84" w14:textId="77777777" w:rsidR="005104D8" w:rsidRDefault="005104D8">
      <w:pPr>
        <w:spacing w:after="120"/>
      </w:pPr>
    </w:p>
    <w:p w14:paraId="553B6B79"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8.3 Cost</w:t>
      </w:r>
    </w:p>
    <w:p w14:paraId="6396D579" w14:textId="77777777" w:rsidR="005104D8" w:rsidRDefault="00FB0300">
      <w:pPr>
        <w:spacing w:after="120"/>
      </w:pPr>
      <w:r>
        <w:rPr>
          <w:color w:val="333333"/>
        </w:rPr>
        <w:t xml:space="preserve">DHP licensing is banded and capped by population footprint, ensuring predictable costs at scale with no capital investment required. </w:t>
      </w:r>
      <w:proofErr w:type="spellStart"/>
      <w:r>
        <w:rPr>
          <w:color w:val="333333"/>
        </w:rPr>
        <w:t>HealthSpot</w:t>
      </w:r>
      <w:proofErr w:type="spellEnd"/>
      <w:r>
        <w:rPr>
          <w:color w:val="333333"/>
        </w:rPr>
        <w:t xml:space="preserve"> delivery costs depend on local GP and youth service commissioning arrangements but are designed to operate within existing extended access and youth service funding envelopes. Joint training is available through G-Cloud Lot 3 on a defined scope or rate-card basis.</w:t>
      </w:r>
    </w:p>
    <w:p w14:paraId="2C887EF7"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t>9. Conclusion and Next Steps</w:t>
      </w:r>
    </w:p>
    <w:p w14:paraId="0B7B94D0" w14:textId="77777777" w:rsidR="005104D8" w:rsidRDefault="00FB0300">
      <w:pPr>
        <w:spacing w:after="120"/>
      </w:pPr>
      <w:r>
        <w:rPr>
          <w:color w:val="333333"/>
        </w:rPr>
        <w:t>The evidence, the policy alignment, and the emerging practice across England all point in the same direction: young people need connected, community-based health support that meets them where they are, follows them across settings, and gives them control over their own care.</w:t>
      </w:r>
    </w:p>
    <w:p w14:paraId="1F08A331" w14:textId="77777777" w:rsidR="005104D8" w:rsidRDefault="00FB0300">
      <w:pPr>
        <w:spacing w:after="120"/>
      </w:pPr>
      <w:r>
        <w:rPr>
          <w:color w:val="333333"/>
        </w:rPr>
        <w:t xml:space="preserve">The Sure Start for Teenagers model brings together three elements that are too often developed in isolation: trusted people, accessible places, and a connected digital layer. Each is necessary; none is sufficient alone. A youth club without clinical input cannot address unmet health needs. A GP service without trusted relationships cannot engage the young people who need it most. And without a digital bridge, care plans remain siloed, transitions remain unsafe, and the investment in people and places risks </w:t>
      </w:r>
      <w:r>
        <w:rPr>
          <w:color w:val="333333"/>
        </w:rPr>
        <w:t>recreating the same fragmentation in new settings.</w:t>
      </w:r>
    </w:p>
    <w:p w14:paraId="2969480C" w14:textId="77777777" w:rsidR="005104D8" w:rsidRDefault="00FB0300">
      <w:pPr>
        <w:spacing w:after="120"/>
      </w:pPr>
      <w:r>
        <w:rPr>
          <w:color w:val="333333"/>
        </w:rPr>
        <w:t xml:space="preserve">This is not a theoretical proposition. The </w:t>
      </w:r>
      <w:proofErr w:type="spellStart"/>
      <w:r>
        <w:rPr>
          <w:color w:val="333333"/>
        </w:rPr>
        <w:t>HealthSpot</w:t>
      </w:r>
      <w:proofErr w:type="spellEnd"/>
      <w:r>
        <w:rPr>
          <w:color w:val="333333"/>
        </w:rPr>
        <w:t xml:space="preserve"> model is delivering results in East London. The Bradford school health hub approach is taking shape. The Digital Health Passport has been independently evaluated by UCL Partners with strong outcomes. The building blocks exist. The opportunity now is to connect them.</w:t>
      </w:r>
    </w:p>
    <w:p w14:paraId="46FDC582" w14:textId="77777777" w:rsidR="005104D8" w:rsidRDefault="00FB0300">
      <w:pPr>
        <w:spacing w:after="120"/>
      </w:pPr>
      <w:r>
        <w:rPr>
          <w:b/>
          <w:bCs/>
          <w:color w:val="333333"/>
        </w:rPr>
        <w:t xml:space="preserve">The planning window is immediate. </w:t>
      </w:r>
      <w:r>
        <w:rPr>
          <w:color w:val="333333"/>
        </w:rPr>
        <w:t>ICBs are preparing single planning documents for regional teams by mid-May 2026. The adolescent transition section of those plans is precisely where this model is designed to sit. For commissioners looking to meet NHS England’s transition guidance requirements with an evidence-based, deliverable approach, this framework offers a route from strategy to implementation within weeks.</w:t>
      </w:r>
    </w:p>
    <w:p w14:paraId="108EDB34"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9.1 Next Steps for Commissioners</w:t>
      </w:r>
    </w:p>
    <w:p w14:paraId="537C1E99" w14:textId="77777777" w:rsidR="005104D8" w:rsidRDefault="00FB0300">
      <w:pPr>
        <w:spacing w:after="120"/>
      </w:pPr>
      <w:r>
        <w:rPr>
          <w:color w:val="333333"/>
        </w:rPr>
        <w:t>We invite ICB CYP leads, Directors of Public Health, Directors of Children’s Services, and community trust leaders to take the following steps:</w:t>
      </w:r>
    </w:p>
    <w:p w14:paraId="5BAEC313" w14:textId="77777777" w:rsidR="005104D8" w:rsidRDefault="00FB0300">
      <w:pPr>
        <w:pBdr>
          <w:top w:val="nil"/>
          <w:left w:val="nil"/>
          <w:bottom w:val="nil"/>
          <w:right w:val="nil"/>
          <w:between w:val="nil"/>
        </w:pBdr>
        <w:spacing w:after="80"/>
        <w:rPr>
          <w:color w:val="000000"/>
        </w:rPr>
      </w:pPr>
      <w:r>
        <w:rPr>
          <w:b/>
          <w:bCs/>
          <w:color w:val="333333"/>
        </w:rPr>
        <w:t xml:space="preserve">Request a briefing. </w:t>
      </w:r>
      <w:r>
        <w:rPr>
          <w:color w:val="333333"/>
        </w:rPr>
        <w:t>A 30-minute call with Dr Greg Burch to discuss how the model could be tailored to your ICB footprint, population needs, and existing partnerships. Contact hello@tinymedicalapps.com or 0207 859 4169.</w:t>
      </w:r>
    </w:p>
    <w:p w14:paraId="5A7E9488" w14:textId="77777777" w:rsidR="005104D8" w:rsidRDefault="00FB0300">
      <w:pPr>
        <w:pBdr>
          <w:top w:val="nil"/>
          <w:left w:val="nil"/>
          <w:bottom w:val="nil"/>
          <w:right w:val="nil"/>
          <w:between w:val="nil"/>
        </w:pBdr>
        <w:spacing w:after="80"/>
        <w:rPr>
          <w:color w:val="000000"/>
        </w:rPr>
      </w:pPr>
      <w:r>
        <w:rPr>
          <w:b/>
          <w:bCs/>
          <w:color w:val="333333"/>
        </w:rPr>
        <w:t xml:space="preserve">Include adolescent digital self-management in your planning submission. </w:t>
      </w:r>
      <w:r>
        <w:rPr>
          <w:color w:val="333333"/>
        </w:rPr>
        <w:t>The DHP can be referenced as a commissioned or planned digital tool within the adolescent transition section of your ICB plan, supporting compliance with the NHS England transition guidance.</w:t>
      </w:r>
    </w:p>
    <w:p w14:paraId="4514FD13" w14:textId="77777777" w:rsidR="005104D8" w:rsidRDefault="00FB0300">
      <w:pPr>
        <w:pBdr>
          <w:top w:val="nil"/>
          <w:left w:val="nil"/>
          <w:bottom w:val="nil"/>
          <w:right w:val="nil"/>
          <w:between w:val="nil"/>
        </w:pBdr>
        <w:spacing w:after="80"/>
        <w:rPr>
          <w:color w:val="000000"/>
        </w:rPr>
      </w:pPr>
      <w:r>
        <w:rPr>
          <w:b/>
          <w:bCs/>
          <w:color w:val="333333"/>
        </w:rPr>
        <w:lastRenderedPageBreak/>
        <w:t xml:space="preserve">Commission a scoping phase. </w:t>
      </w:r>
      <w:r>
        <w:rPr>
          <w:color w:val="333333"/>
        </w:rPr>
        <w:t>A Phase 1 standalone deployment can be live within weeks via G-Cloud, with no integration dependencies. This provides an immediate, low-risk starting point while longer-term system connections are planned.</w:t>
      </w:r>
    </w:p>
    <w:p w14:paraId="513D894F" w14:textId="77777777" w:rsidR="005104D8" w:rsidRDefault="00FB0300">
      <w:pPr>
        <w:pBdr>
          <w:top w:val="nil"/>
          <w:left w:val="nil"/>
          <w:bottom w:val="nil"/>
          <w:right w:val="nil"/>
          <w:between w:val="nil"/>
        </w:pBdr>
        <w:spacing w:after="80"/>
        <w:rPr>
          <w:color w:val="000000"/>
        </w:rPr>
      </w:pPr>
      <w:r>
        <w:rPr>
          <w:b/>
          <w:bCs/>
          <w:color w:val="333333"/>
        </w:rPr>
        <w:t xml:space="preserve">Identify local delivery partners. </w:t>
      </w:r>
      <w:r>
        <w:rPr>
          <w:color w:val="333333"/>
        </w:rPr>
        <w:t xml:space="preserve">Consider which youth settings, schools, and community organisations in your footprint could host </w:t>
      </w:r>
      <w:proofErr w:type="spellStart"/>
      <w:r>
        <w:rPr>
          <w:color w:val="333333"/>
        </w:rPr>
        <w:t>HealthSpot</w:t>
      </w:r>
      <w:proofErr w:type="spellEnd"/>
      <w:r>
        <w:rPr>
          <w:color w:val="333333"/>
        </w:rPr>
        <w:t>-style GP sessions or act as DHP onboarding sites. The model is designed to wrap around existing local assets, not replace them.</w:t>
      </w:r>
    </w:p>
    <w:p w14:paraId="40C97982"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9.2 A Note on Partnership</w:t>
      </w:r>
    </w:p>
    <w:p w14:paraId="0C4759F4" w14:textId="77777777" w:rsidR="005104D8" w:rsidRDefault="00FB0300">
      <w:pPr>
        <w:spacing w:after="120"/>
      </w:pPr>
      <w:r>
        <w:rPr>
          <w:color w:val="333333"/>
        </w:rPr>
        <w:t xml:space="preserve">This document reflects emerging practice across multiple organisations working to improve outcomes for young people. TMA is working alongside expert partners including Spotlight and the </w:t>
      </w:r>
      <w:proofErr w:type="spellStart"/>
      <w:r>
        <w:rPr>
          <w:color w:val="333333"/>
        </w:rPr>
        <w:t>HealthSpot</w:t>
      </w:r>
      <w:proofErr w:type="spellEnd"/>
      <w:r>
        <w:rPr>
          <w:color w:val="333333"/>
        </w:rPr>
        <w:t xml:space="preserve"> programme, Bradford partners including the Education Alliance for Life Chances, and national charities such as </w:t>
      </w:r>
      <w:proofErr w:type="spellStart"/>
      <w:r>
        <w:rPr>
          <w:color w:val="333333"/>
        </w:rPr>
        <w:t>YoungMinds</w:t>
      </w:r>
      <w:proofErr w:type="spellEnd"/>
      <w:r>
        <w:rPr>
          <w:color w:val="333333"/>
        </w:rPr>
        <w:t>.</w:t>
      </w:r>
    </w:p>
    <w:p w14:paraId="2852A46F" w14:textId="77777777" w:rsidR="005104D8" w:rsidRDefault="00FB0300">
      <w:pPr>
        <w:spacing w:after="120"/>
      </w:pPr>
      <w:r>
        <w:rPr>
          <w:color w:val="333333"/>
        </w:rPr>
        <w:t>Our intention is to align and support these approaches, particularly through the development of a connected digital layer that enables self-management, continuity of care, and access across settings. The organisations referenced in this document are cited as exemplars of good practice; any formal collaboration or endorsement is subject to the agreement of the organisations concerned.</w:t>
      </w:r>
    </w:p>
    <w:p w14:paraId="057AF20C" w14:textId="77777777" w:rsidR="005104D8" w:rsidRDefault="00FB0300">
      <w:pPr>
        <w:spacing w:after="120"/>
      </w:pPr>
      <w:r>
        <w:rPr>
          <w:color w:val="333333"/>
        </w:rPr>
        <w:t>We welcome feedback, collaboration, and partnership from commissioners and delivery organisations as this model continues to evolve.</w:t>
      </w:r>
    </w:p>
    <w:p w14:paraId="58A460EB" w14:textId="77777777" w:rsidR="005104D8" w:rsidRDefault="00FB0300">
      <w:pPr>
        <w:pBdr>
          <w:top w:val="nil"/>
          <w:left w:val="nil"/>
          <w:bottom w:val="single" w:sz="4" w:space="4" w:color="1F4E79"/>
          <w:right w:val="nil"/>
          <w:between w:val="nil"/>
        </w:pBdr>
        <w:spacing w:before="360" w:after="200"/>
        <w:rPr>
          <w:color w:val="2E74B5"/>
          <w:sz w:val="32"/>
          <w:szCs w:val="32"/>
        </w:rPr>
      </w:pPr>
      <w:r>
        <w:rPr>
          <w:b/>
          <w:bCs/>
          <w:color w:val="1F4E79"/>
          <w:sz w:val="32"/>
          <w:szCs w:val="32"/>
        </w:rPr>
        <w:t>10. References and Links</w:t>
      </w:r>
    </w:p>
    <w:p w14:paraId="3526F7CE"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National Policy</w:t>
      </w:r>
    </w:p>
    <w:p w14:paraId="32FD6AE9" w14:textId="77777777" w:rsidR="005104D8" w:rsidRDefault="00FB0300">
      <w:pPr>
        <w:pBdr>
          <w:top w:val="nil"/>
          <w:left w:val="nil"/>
          <w:bottom w:val="nil"/>
          <w:right w:val="nil"/>
          <w:between w:val="nil"/>
        </w:pBdr>
        <w:spacing w:after="80"/>
        <w:rPr>
          <w:color w:val="000000"/>
        </w:rPr>
      </w:pPr>
      <w:r>
        <w:rPr>
          <w:color w:val="333333"/>
        </w:rPr>
        <w:t>NHS England (2026) Supporting Young People to Transition into Adolescent and Adult Services.</w:t>
      </w:r>
    </w:p>
    <w:p w14:paraId="3EFB34A7" w14:textId="77777777" w:rsidR="005104D8" w:rsidRDefault="00FB0300">
      <w:pPr>
        <w:pBdr>
          <w:top w:val="nil"/>
          <w:left w:val="nil"/>
          <w:bottom w:val="nil"/>
          <w:right w:val="nil"/>
          <w:between w:val="nil"/>
        </w:pBdr>
        <w:spacing w:after="80"/>
        <w:rPr>
          <w:color w:val="000000"/>
        </w:rPr>
      </w:pPr>
      <w:r>
        <w:rPr>
          <w:color w:val="333333"/>
        </w:rPr>
        <w:t>DCMS (2025) Youth Matters: Your National Youth Strategy.</w:t>
      </w:r>
    </w:p>
    <w:p w14:paraId="461FB380" w14:textId="77777777" w:rsidR="005104D8" w:rsidRDefault="00FB0300">
      <w:pPr>
        <w:pBdr>
          <w:top w:val="nil"/>
          <w:left w:val="nil"/>
          <w:bottom w:val="nil"/>
          <w:right w:val="nil"/>
          <w:between w:val="nil"/>
        </w:pBdr>
        <w:spacing w:after="80"/>
        <w:rPr>
          <w:color w:val="000000"/>
        </w:rPr>
      </w:pPr>
      <w:r>
        <w:rPr>
          <w:color w:val="333333"/>
        </w:rPr>
        <w:t>NICE Guideline NG43: Transition from Children’s to Adults’ Services for Young People Using Health or Social Care Services</w:t>
      </w:r>
    </w:p>
    <w:p w14:paraId="4935FE41" w14:textId="77777777" w:rsidR="005104D8" w:rsidRDefault="00FB0300">
      <w:pPr>
        <w:pBdr>
          <w:top w:val="nil"/>
          <w:left w:val="nil"/>
          <w:bottom w:val="nil"/>
          <w:right w:val="nil"/>
          <w:between w:val="nil"/>
        </w:pBdr>
        <w:spacing w:after="80"/>
        <w:rPr>
          <w:color w:val="000000"/>
        </w:rPr>
      </w:pPr>
      <w:r>
        <w:rPr>
          <w:color w:val="333333"/>
        </w:rPr>
        <w:t>NICE Quality Standard QS140: Transition from Children’s to Adults’ Services</w:t>
      </w:r>
    </w:p>
    <w:p w14:paraId="3767EBC4" w14:textId="77777777" w:rsidR="005104D8" w:rsidRDefault="00FB0300">
      <w:pPr>
        <w:pBdr>
          <w:top w:val="nil"/>
          <w:left w:val="nil"/>
          <w:bottom w:val="nil"/>
          <w:right w:val="nil"/>
          <w:between w:val="nil"/>
        </w:pBdr>
        <w:spacing w:after="80"/>
        <w:rPr>
          <w:color w:val="000000"/>
        </w:rPr>
      </w:pPr>
      <w:r>
        <w:rPr>
          <w:color w:val="333333"/>
        </w:rPr>
        <w:t>NHS England (2025) Strategic Commissioning Framework</w:t>
      </w:r>
    </w:p>
    <w:p w14:paraId="28CC841D" w14:textId="77777777" w:rsidR="005104D8" w:rsidRDefault="00FB0300">
      <w:pPr>
        <w:pBdr>
          <w:top w:val="nil"/>
          <w:left w:val="nil"/>
          <w:bottom w:val="nil"/>
          <w:right w:val="nil"/>
          <w:between w:val="nil"/>
        </w:pBdr>
        <w:spacing w:after="80"/>
        <w:rPr>
          <w:color w:val="000000"/>
        </w:rPr>
      </w:pPr>
      <w:r>
        <w:rPr>
          <w:color w:val="333333"/>
        </w:rPr>
        <w:t>HM Government (2025) 10 Year Health Plan: Fit for the Future</w:t>
      </w:r>
    </w:p>
    <w:p w14:paraId="48F51212"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Evidence</w:t>
      </w:r>
    </w:p>
    <w:p w14:paraId="7CC30597" w14:textId="77777777" w:rsidR="005104D8" w:rsidRDefault="00FB0300">
      <w:pPr>
        <w:pBdr>
          <w:top w:val="nil"/>
          <w:left w:val="nil"/>
          <w:bottom w:val="nil"/>
          <w:right w:val="nil"/>
          <w:between w:val="nil"/>
        </w:pBdr>
        <w:spacing w:after="80"/>
        <w:rPr>
          <w:color w:val="000000"/>
        </w:rPr>
      </w:pPr>
      <w:r>
        <w:rPr>
          <w:color w:val="333333"/>
        </w:rPr>
        <w:t xml:space="preserve">Cheema, K., Houston, S., </w:t>
      </w:r>
      <w:proofErr w:type="spellStart"/>
      <w:r>
        <w:rPr>
          <w:color w:val="333333"/>
        </w:rPr>
        <w:t>Ohenhen</w:t>
      </w:r>
      <w:proofErr w:type="spellEnd"/>
      <w:r>
        <w:rPr>
          <w:color w:val="333333"/>
        </w:rPr>
        <w:t>, O., Hirani, S., Burch, G., Bourne, M. (2025) Digital Health Passport: Service Evaluation Final Report. UCL Partners, London.</w:t>
      </w:r>
    </w:p>
    <w:p w14:paraId="60BA75E1" w14:textId="77777777" w:rsidR="005104D8" w:rsidRDefault="00FB0300">
      <w:pPr>
        <w:pBdr>
          <w:top w:val="nil"/>
          <w:left w:val="nil"/>
          <w:bottom w:val="nil"/>
          <w:right w:val="nil"/>
          <w:between w:val="nil"/>
        </w:pBdr>
        <w:spacing w:after="80"/>
        <w:rPr>
          <w:color w:val="000000"/>
        </w:rPr>
      </w:pPr>
      <w:proofErr w:type="spellStart"/>
      <w:r>
        <w:rPr>
          <w:color w:val="333333"/>
        </w:rPr>
        <w:t>HealthSpot</w:t>
      </w:r>
      <w:proofErr w:type="spellEnd"/>
      <w:r>
        <w:rPr>
          <w:color w:val="333333"/>
        </w:rPr>
        <w:t xml:space="preserve"> Tower Hamlets — </w:t>
      </w:r>
      <w:proofErr w:type="gramStart"/>
      <w:r>
        <w:rPr>
          <w:color w:val="333333"/>
        </w:rPr>
        <w:t>North East</w:t>
      </w:r>
      <w:proofErr w:type="gramEnd"/>
      <w:r>
        <w:rPr>
          <w:color w:val="333333"/>
        </w:rPr>
        <w:t xml:space="preserve"> London Health and Care Partnership</w:t>
      </w:r>
    </w:p>
    <w:p w14:paraId="6C491486" w14:textId="77777777" w:rsidR="005104D8" w:rsidRDefault="00FB0300">
      <w:pPr>
        <w:pBdr>
          <w:top w:val="nil"/>
          <w:left w:val="nil"/>
          <w:bottom w:val="nil"/>
          <w:right w:val="nil"/>
          <w:between w:val="nil"/>
        </w:pBdr>
        <w:spacing w:after="80"/>
        <w:rPr>
          <w:color w:val="000000"/>
        </w:rPr>
      </w:pPr>
      <w:proofErr w:type="spellStart"/>
      <w:r>
        <w:rPr>
          <w:color w:val="333333"/>
        </w:rPr>
        <w:t>HealthSpot</w:t>
      </w:r>
      <w:proofErr w:type="spellEnd"/>
      <w:r>
        <w:rPr>
          <w:color w:val="333333"/>
        </w:rPr>
        <w:t xml:space="preserve"> City and Hackney — one-year review of the pilot youth service, Healthwatch Hackney (2025)</w:t>
      </w:r>
    </w:p>
    <w:p w14:paraId="4AA54613" w14:textId="77777777" w:rsidR="005104D8" w:rsidRDefault="00FB0300">
      <w:pPr>
        <w:pBdr>
          <w:top w:val="nil"/>
          <w:left w:val="nil"/>
          <w:bottom w:val="nil"/>
          <w:right w:val="nil"/>
          <w:between w:val="nil"/>
        </w:pBdr>
        <w:spacing w:after="80"/>
        <w:rPr>
          <w:color w:val="000000"/>
        </w:rPr>
      </w:pPr>
      <w:proofErr w:type="spellStart"/>
      <w:r>
        <w:rPr>
          <w:color w:val="333333"/>
        </w:rPr>
        <w:t>HealthSpot</w:t>
      </w:r>
      <w:proofErr w:type="spellEnd"/>
      <w:r>
        <w:rPr>
          <w:color w:val="333333"/>
        </w:rPr>
        <w:t xml:space="preserve"> — Poplar HARCA partnership model and replication</w:t>
      </w:r>
    </w:p>
    <w:p w14:paraId="417E283C" w14:textId="77777777" w:rsidR="005104D8" w:rsidRDefault="00FB0300">
      <w:pPr>
        <w:pBdr>
          <w:top w:val="nil"/>
          <w:left w:val="nil"/>
          <w:bottom w:val="nil"/>
          <w:right w:val="nil"/>
          <w:between w:val="nil"/>
        </w:pBdr>
        <w:spacing w:after="80"/>
        <w:rPr>
          <w:color w:val="000000"/>
        </w:rPr>
      </w:pPr>
      <w:proofErr w:type="spellStart"/>
      <w:r>
        <w:rPr>
          <w:color w:val="333333"/>
        </w:rPr>
        <w:t>HealthSpot</w:t>
      </w:r>
      <w:proofErr w:type="spellEnd"/>
      <w:r>
        <w:rPr>
          <w:color w:val="333333"/>
        </w:rPr>
        <w:t xml:space="preserve"> GP drop-in — Tower Hamlets GP Care Group</w:t>
      </w:r>
    </w:p>
    <w:p w14:paraId="1FDA5DC4" w14:textId="77777777" w:rsidR="005104D8" w:rsidRDefault="00FB0300">
      <w:pPr>
        <w:pBdr>
          <w:top w:val="nil"/>
          <w:left w:val="nil"/>
          <w:bottom w:val="nil"/>
          <w:right w:val="nil"/>
          <w:between w:val="nil"/>
        </w:pBdr>
        <w:spacing w:after="80"/>
        <w:rPr>
          <w:color w:val="000000"/>
        </w:rPr>
      </w:pPr>
      <w:proofErr w:type="spellStart"/>
      <w:r>
        <w:rPr>
          <w:color w:val="333333"/>
        </w:rPr>
        <w:t>HealthSpot</w:t>
      </w:r>
      <w:proofErr w:type="spellEnd"/>
      <w:r>
        <w:rPr>
          <w:color w:val="333333"/>
        </w:rPr>
        <w:t xml:space="preserve"> — NHS </w:t>
      </w:r>
      <w:proofErr w:type="gramStart"/>
      <w:r>
        <w:rPr>
          <w:color w:val="333333"/>
        </w:rPr>
        <w:t>North East</w:t>
      </w:r>
      <w:proofErr w:type="gramEnd"/>
      <w:r>
        <w:rPr>
          <w:color w:val="333333"/>
        </w:rPr>
        <w:t xml:space="preserve"> London ICB, national spotlight</w:t>
      </w:r>
    </w:p>
    <w:p w14:paraId="174BE51F" w14:textId="77777777" w:rsidR="005104D8" w:rsidRDefault="00FB0300">
      <w:pPr>
        <w:pBdr>
          <w:top w:val="nil"/>
          <w:left w:val="nil"/>
          <w:bottom w:val="nil"/>
          <w:right w:val="nil"/>
          <w:between w:val="nil"/>
        </w:pBdr>
        <w:spacing w:after="80"/>
        <w:rPr>
          <w:color w:val="000000"/>
        </w:rPr>
      </w:pPr>
      <w:r>
        <w:rPr>
          <w:color w:val="333333"/>
        </w:rPr>
        <w:t>Leeds Teaching Hospitals Youth Service — embedded youth workers across speciality services</w:t>
      </w:r>
    </w:p>
    <w:p w14:paraId="55A1A396" w14:textId="77777777" w:rsidR="005104D8" w:rsidRDefault="00FB0300">
      <w:pPr>
        <w:pBdr>
          <w:top w:val="nil"/>
          <w:left w:val="nil"/>
          <w:bottom w:val="nil"/>
          <w:right w:val="nil"/>
          <w:between w:val="nil"/>
        </w:pBdr>
        <w:spacing w:after="80"/>
        <w:rPr>
          <w:color w:val="000000"/>
        </w:rPr>
      </w:pPr>
      <w:r>
        <w:rPr>
          <w:color w:val="333333"/>
        </w:rPr>
        <w:t>Association for Young People’s Health (AYPH) — population and demographic data</w:t>
      </w:r>
    </w:p>
    <w:p w14:paraId="350D9CB7" w14:textId="77777777" w:rsidR="005104D8" w:rsidRDefault="00FB0300">
      <w:pPr>
        <w:pBdr>
          <w:top w:val="nil"/>
          <w:left w:val="nil"/>
          <w:bottom w:val="nil"/>
          <w:right w:val="nil"/>
          <w:between w:val="nil"/>
        </w:pBdr>
        <w:spacing w:after="80"/>
        <w:rPr>
          <w:color w:val="000000"/>
        </w:rPr>
      </w:pPr>
      <w:r>
        <w:rPr>
          <w:color w:val="333333"/>
        </w:rPr>
        <w:t>Sir James Mackey, NHS England planning framework (April 2026) — priorities for 2026/27</w:t>
      </w:r>
    </w:p>
    <w:p w14:paraId="6641EF8C"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lastRenderedPageBreak/>
        <w:t>Partners</w:t>
      </w:r>
    </w:p>
    <w:p w14:paraId="0A8FAA40" w14:textId="77777777" w:rsidR="005104D8" w:rsidRDefault="00FB0300">
      <w:pPr>
        <w:pBdr>
          <w:top w:val="nil"/>
          <w:left w:val="nil"/>
          <w:bottom w:val="nil"/>
          <w:right w:val="nil"/>
          <w:between w:val="nil"/>
        </w:pBdr>
        <w:spacing w:after="80"/>
        <w:rPr>
          <w:color w:val="000000"/>
        </w:rPr>
      </w:pPr>
      <w:proofErr w:type="spellStart"/>
      <w:r>
        <w:rPr>
          <w:color w:val="333333"/>
        </w:rPr>
        <w:t>HealthSpot</w:t>
      </w:r>
      <w:proofErr w:type="spellEnd"/>
      <w:r>
        <w:rPr>
          <w:color w:val="333333"/>
        </w:rPr>
        <w:t>: wearespotlight.com/health-spot</w:t>
      </w:r>
    </w:p>
    <w:p w14:paraId="44830B4D" w14:textId="77777777" w:rsidR="005104D8" w:rsidRDefault="00FB0300">
      <w:pPr>
        <w:pBdr>
          <w:top w:val="nil"/>
          <w:left w:val="nil"/>
          <w:bottom w:val="nil"/>
          <w:right w:val="nil"/>
          <w:between w:val="nil"/>
        </w:pBdr>
        <w:spacing w:after="80"/>
        <w:rPr>
          <w:color w:val="000000"/>
        </w:rPr>
      </w:pPr>
      <w:r>
        <w:rPr>
          <w:color w:val="333333"/>
        </w:rPr>
        <w:t>Digital Health Passport: tinymedicalapps.com</w:t>
      </w:r>
    </w:p>
    <w:p w14:paraId="72556FB2" w14:textId="77777777" w:rsidR="005104D8" w:rsidRDefault="00FB0300">
      <w:pPr>
        <w:pBdr>
          <w:top w:val="nil"/>
          <w:left w:val="nil"/>
          <w:bottom w:val="nil"/>
          <w:right w:val="nil"/>
          <w:between w:val="nil"/>
        </w:pBdr>
        <w:spacing w:after="80"/>
        <w:rPr>
          <w:color w:val="000000"/>
        </w:rPr>
      </w:pPr>
      <w:proofErr w:type="spellStart"/>
      <w:r>
        <w:rPr>
          <w:color w:val="333333"/>
        </w:rPr>
        <w:t>YoungMinds</w:t>
      </w:r>
      <w:proofErr w:type="spellEnd"/>
      <w:r>
        <w:rPr>
          <w:color w:val="333333"/>
        </w:rPr>
        <w:t>: youngminds.org.uk</w:t>
      </w:r>
    </w:p>
    <w:p w14:paraId="52AB00FD" w14:textId="77777777" w:rsidR="005104D8" w:rsidRDefault="00FB0300">
      <w:pPr>
        <w:pBdr>
          <w:top w:val="nil"/>
          <w:left w:val="nil"/>
          <w:bottom w:val="nil"/>
          <w:right w:val="nil"/>
          <w:between w:val="nil"/>
        </w:pBdr>
        <w:spacing w:after="80"/>
        <w:rPr>
          <w:color w:val="000000"/>
        </w:rPr>
      </w:pPr>
      <w:r>
        <w:rPr>
          <w:color w:val="333333"/>
        </w:rPr>
        <w:t>Mencap: mencap.org.uk</w:t>
      </w:r>
    </w:p>
    <w:p w14:paraId="0551D762" w14:textId="77777777" w:rsidR="005104D8" w:rsidRDefault="00FB0300">
      <w:pPr>
        <w:pBdr>
          <w:top w:val="nil"/>
          <w:left w:val="nil"/>
          <w:bottom w:val="nil"/>
          <w:right w:val="nil"/>
          <w:between w:val="nil"/>
        </w:pBdr>
        <w:spacing w:after="80"/>
        <w:rPr>
          <w:color w:val="000000"/>
        </w:rPr>
      </w:pPr>
      <w:r>
        <w:rPr>
          <w:color w:val="333333"/>
        </w:rPr>
        <w:t>Asthma + Lung UK: asthmaandlung.org.uk</w:t>
      </w:r>
    </w:p>
    <w:p w14:paraId="2FC08C8A" w14:textId="77777777" w:rsidR="005104D8" w:rsidRDefault="00FB0300">
      <w:pPr>
        <w:pBdr>
          <w:top w:val="nil"/>
          <w:left w:val="nil"/>
          <w:bottom w:val="nil"/>
          <w:right w:val="nil"/>
          <w:between w:val="nil"/>
        </w:pBdr>
        <w:spacing w:after="80"/>
        <w:rPr>
          <w:color w:val="000000"/>
        </w:rPr>
      </w:pPr>
      <w:r>
        <w:rPr>
          <w:color w:val="333333"/>
        </w:rPr>
        <w:t>Young Epilepsy: youngepilepsy.org.uk</w:t>
      </w:r>
    </w:p>
    <w:p w14:paraId="08DC5DFB" w14:textId="77777777" w:rsidR="005104D8" w:rsidRDefault="00FB0300">
      <w:pPr>
        <w:pBdr>
          <w:top w:val="nil"/>
          <w:left w:val="nil"/>
          <w:bottom w:val="nil"/>
          <w:right w:val="nil"/>
          <w:between w:val="nil"/>
        </w:pBdr>
        <w:spacing w:after="80"/>
        <w:rPr>
          <w:color w:val="000000"/>
        </w:rPr>
      </w:pPr>
      <w:r>
        <w:rPr>
          <w:color w:val="333333"/>
        </w:rPr>
        <w:t>Sickle Cell Society: sicklecellsociety.org</w:t>
      </w:r>
    </w:p>
    <w:p w14:paraId="090E237B" w14:textId="77777777" w:rsidR="005104D8" w:rsidRDefault="00FB0300">
      <w:pPr>
        <w:pBdr>
          <w:top w:val="nil"/>
          <w:left w:val="nil"/>
          <w:bottom w:val="nil"/>
          <w:right w:val="nil"/>
          <w:between w:val="nil"/>
        </w:pBdr>
        <w:spacing w:after="80"/>
        <w:rPr>
          <w:color w:val="000000"/>
        </w:rPr>
      </w:pPr>
      <w:r>
        <w:rPr>
          <w:color w:val="333333"/>
        </w:rPr>
        <w:t>Anaphylaxis UK: anaphylaxis.org.uk</w:t>
      </w:r>
    </w:p>
    <w:p w14:paraId="7E73C91F" w14:textId="77777777" w:rsidR="005104D8" w:rsidRDefault="00FB0300">
      <w:pPr>
        <w:pBdr>
          <w:top w:val="nil"/>
          <w:left w:val="nil"/>
          <w:bottom w:val="nil"/>
          <w:right w:val="nil"/>
          <w:between w:val="nil"/>
        </w:pBdr>
        <w:spacing w:after="80"/>
        <w:rPr>
          <w:color w:val="000000"/>
        </w:rPr>
      </w:pPr>
      <w:r>
        <w:rPr>
          <w:color w:val="333333"/>
        </w:rPr>
        <w:t>Genetic Alliance UK: geneticalliance.org.uk</w:t>
      </w:r>
    </w:p>
    <w:p w14:paraId="3AF7A73E" w14:textId="77777777" w:rsidR="005104D8" w:rsidRDefault="005104D8">
      <w:pPr>
        <w:spacing w:before="400"/>
      </w:pPr>
    </w:p>
    <w:p w14:paraId="49D7CE77" w14:textId="77777777" w:rsidR="005104D8" w:rsidRDefault="00FB0300">
      <w:pPr>
        <w:pBdr>
          <w:top w:val="nil"/>
          <w:left w:val="nil"/>
          <w:bottom w:val="nil"/>
          <w:right w:val="nil"/>
          <w:between w:val="nil"/>
        </w:pBdr>
        <w:spacing w:before="240" w:after="160"/>
        <w:rPr>
          <w:color w:val="2E74B5"/>
          <w:sz w:val="26"/>
          <w:szCs w:val="26"/>
        </w:rPr>
      </w:pPr>
      <w:r>
        <w:rPr>
          <w:b/>
          <w:bCs/>
          <w:color w:val="1F4E79"/>
          <w:sz w:val="26"/>
          <w:szCs w:val="26"/>
        </w:rPr>
        <w:t>Contact</w:t>
      </w:r>
    </w:p>
    <w:p w14:paraId="77187602" w14:textId="77777777" w:rsidR="005104D8" w:rsidRDefault="00FB0300">
      <w:pPr>
        <w:spacing w:after="120"/>
      </w:pPr>
      <w:r>
        <w:rPr>
          <w:b/>
          <w:bCs/>
          <w:color w:val="333333"/>
        </w:rPr>
        <w:t>Tiny Medical Apps Limited</w:t>
      </w:r>
    </w:p>
    <w:p w14:paraId="00740F36" w14:textId="77777777" w:rsidR="005104D8" w:rsidRDefault="00FB0300">
      <w:pPr>
        <w:spacing w:after="120"/>
      </w:pPr>
      <w:r>
        <w:rPr>
          <w:color w:val="333333"/>
        </w:rPr>
        <w:t>Joint CEOs: Dr Greg Burch (Clinical Director) and Matt Bourne (CTO)</w:t>
      </w:r>
    </w:p>
    <w:p w14:paraId="7F782E0E" w14:textId="77777777" w:rsidR="005104D8" w:rsidRDefault="00FB0300">
      <w:pPr>
        <w:spacing w:after="120"/>
      </w:pPr>
      <w:r>
        <w:rPr>
          <w:color w:val="333333"/>
        </w:rPr>
        <w:t xml:space="preserve">Email: </w:t>
      </w:r>
      <w:proofErr w:type="gramStart"/>
      <w:r>
        <w:rPr>
          <w:color w:val="333333"/>
        </w:rPr>
        <w:t>hello@tinymedicalapps.com  |</w:t>
      </w:r>
      <w:proofErr w:type="gramEnd"/>
      <w:r>
        <w:rPr>
          <w:color w:val="333333"/>
        </w:rPr>
        <w:t xml:space="preserve">  Telephone: 0207 859 4169</w:t>
      </w:r>
    </w:p>
    <w:p w14:paraId="408BCC11" w14:textId="77777777" w:rsidR="005104D8" w:rsidRDefault="00FB0300">
      <w:pPr>
        <w:spacing w:after="120"/>
      </w:pPr>
      <w:r>
        <w:rPr>
          <w:color w:val="333333"/>
        </w:rPr>
        <w:t>Address: Health Foundry, Canterbury House, 1 Royal St, Lambeth, London SE1 7LL</w:t>
      </w:r>
    </w:p>
    <w:p w14:paraId="4E208CA7" w14:textId="77777777" w:rsidR="005104D8" w:rsidRDefault="00FB0300">
      <w:pPr>
        <w:spacing w:after="120"/>
      </w:pPr>
      <w:r>
        <w:rPr>
          <w:color w:val="333333"/>
        </w:rPr>
        <w:t>Web: tinymedicalapps.com</w:t>
      </w:r>
    </w:p>
    <w:p w14:paraId="51C0D2C3" w14:textId="77777777" w:rsidR="005104D8" w:rsidRDefault="00FB0300">
      <w:pPr>
        <w:spacing w:before="200"/>
        <w:jc w:val="center"/>
      </w:pPr>
      <w:r>
        <w:rPr>
          <w:color w:val="999999"/>
          <w:sz w:val="18"/>
          <w:szCs w:val="18"/>
        </w:rPr>
        <w:t>© Tiny Medical Apps Limited 2026</w:t>
      </w:r>
    </w:p>
    <w:sectPr w:rsidR="005104D8">
      <w:headerReference w:type="default" r:id="rId6"/>
      <w:footerReference w:type="default" r:id="rId7"/>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23045" w14:textId="77777777" w:rsidR="00FB0300" w:rsidRDefault="00FB0300">
      <w:r>
        <w:separator/>
      </w:r>
    </w:p>
  </w:endnote>
  <w:endnote w:type="continuationSeparator" w:id="0">
    <w:p w14:paraId="4FDADF71" w14:textId="77777777" w:rsidR="00FB0300" w:rsidRDefault="00FB0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953FDD0-9D3C-5F4C-A026-303B917D4273}"/>
    <w:embedBold r:id="rId2" w:fontKey="{1485757A-58B9-3E43-BB71-9BA914A0527B}"/>
    <w:embedItalic r:id="rId3" w:fontKey="{95947A7B-71DF-3C4C-8DF9-D8976E290AB0}"/>
  </w:font>
  <w:font w:name="Times New Roman">
    <w:panose1 w:val="02020603050405020304"/>
    <w:charset w:val="00"/>
    <w:family w:val="roman"/>
    <w:pitch w:val="variable"/>
    <w:sig w:usb0="E0002EFF" w:usb1="C000785B" w:usb2="00000009" w:usb3="00000000" w:csb0="000001FF" w:csb1="00000000"/>
    <w:embedRegular r:id="rId4" w:fontKey="{860B646A-D148-4C43-904A-B1133F3D67E7}"/>
  </w:font>
  <w:font w:name="Calibri">
    <w:panose1 w:val="020F0502020204030204"/>
    <w:charset w:val="00"/>
    <w:family w:val="modern"/>
    <w:pitch w:val="variable"/>
    <w:sig w:usb0="00000003" w:usb1="00000000" w:usb2="00000000" w:usb3="00000000" w:csb0="00000001" w:csb1="00000000"/>
    <w:embedRegular r:id="rId5" w:fontKey="{CEDAF2CD-7357-4F4C-9F37-6C675295D679}"/>
  </w:font>
  <w:font w:name="Cambria">
    <w:panose1 w:val="02040503050406030204"/>
    <w:charset w:val="00"/>
    <w:family w:val="roman"/>
    <w:notTrueType/>
    <w:pitch w:val="default"/>
    <w:embedRegular r:id="rId6" w:fontKey="{BF94DD18-2758-3A49-9541-9BFF683879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2365" w14:textId="1BFA3FFD" w:rsidR="005104D8" w:rsidRDefault="00FB0300">
    <w:pPr>
      <w:pBdr>
        <w:top w:val="single" w:sz="4" w:space="4" w:color="CCCCCC"/>
      </w:pBdr>
      <w:jc w:val="center"/>
    </w:pPr>
    <w:r>
      <w:rPr>
        <w:i/>
        <w:iCs/>
        <w:color w:val="999999"/>
        <w:sz w:val="14"/>
        <w:szCs w:val="14"/>
      </w:rPr>
      <w:t xml:space="preserve">Dr Greg Burch, TMA  |  This document does not represent any other organisation mentioned herein  |  Page </w:t>
    </w:r>
    <w:r>
      <w:rPr>
        <w:color w:val="999999"/>
        <w:sz w:val="14"/>
        <w:szCs w:val="14"/>
      </w:rPr>
      <w:fldChar w:fldCharType="begin"/>
    </w:r>
    <w:r>
      <w:rPr>
        <w:color w:val="999999"/>
        <w:sz w:val="14"/>
        <w:szCs w:val="14"/>
      </w:rPr>
      <w:instrText>PAGE</w:instrText>
    </w:r>
    <w:r>
      <w:rPr>
        <w:color w:val="999999"/>
        <w:sz w:val="14"/>
        <w:szCs w:val="14"/>
      </w:rPr>
      <w:fldChar w:fldCharType="separate"/>
    </w:r>
    <w:r w:rsidR="00591095">
      <w:rPr>
        <w:noProof/>
        <w:color w:val="999999"/>
        <w:sz w:val="14"/>
        <w:szCs w:val="14"/>
      </w:rPr>
      <w:t>3</w:t>
    </w:r>
    <w:r>
      <w:rPr>
        <w:color w:val="999999"/>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81207" w14:textId="77777777" w:rsidR="00FB0300" w:rsidRDefault="00FB0300">
      <w:r>
        <w:separator/>
      </w:r>
    </w:p>
  </w:footnote>
  <w:footnote w:type="continuationSeparator" w:id="0">
    <w:p w14:paraId="015B8FD7" w14:textId="77777777" w:rsidR="00FB0300" w:rsidRDefault="00FB0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7D6F" w14:textId="77777777" w:rsidR="005104D8" w:rsidRDefault="00FB0300">
    <w:pPr>
      <w:pBdr>
        <w:bottom w:val="single" w:sz="4" w:space="4" w:color="CCCCCC"/>
      </w:pBdr>
      <w:jc w:val="right"/>
    </w:pPr>
    <w:r>
      <w:rPr>
        <w:i/>
        <w:iCs/>
        <w:color w:val="999999"/>
        <w:sz w:val="16"/>
        <w:szCs w:val="16"/>
      </w:rPr>
      <w:t>‘Sure Start’ for Teenagers in a Digital Age  |  Tiny Medical Apps Limited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4D8"/>
    <w:rsid w:val="005104D8"/>
    <w:rsid w:val="00591095"/>
    <w:rsid w:val="009F75C9"/>
    <w:rsid w:val="00FB0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9B6FC50"/>
  <w15:docId w15:val="{2A92C1DB-CE2E-F64F-ADE5-F00E7AD2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after="200"/>
      <w:outlineLvl w:val="0"/>
    </w:pPr>
    <w:rPr>
      <w:b/>
      <w:bCs/>
      <w:color w:val="1F4E79"/>
      <w:sz w:val="32"/>
      <w:szCs w:val="32"/>
    </w:rPr>
  </w:style>
  <w:style w:type="paragraph" w:styleId="Heading2">
    <w:name w:val="heading 2"/>
    <w:basedOn w:val="Normal"/>
    <w:next w:val="Normal"/>
    <w:uiPriority w:val="9"/>
    <w:semiHidden/>
    <w:unhideWhenUsed/>
    <w:qFormat/>
    <w:pPr>
      <w:spacing w:before="240" w:after="160"/>
      <w:outlineLvl w:val="1"/>
    </w:pPr>
    <w:rPr>
      <w:b/>
      <w:bCs/>
      <w:color w:val="1F4E79"/>
      <w:sz w:val="26"/>
      <w:szCs w:val="26"/>
    </w:rPr>
  </w:style>
  <w:style w:type="paragraph" w:styleId="Heading3">
    <w:name w:val="heading 3"/>
    <w:basedOn w:val="Normal"/>
    <w:next w:val="Normal"/>
    <w:uiPriority w:val="9"/>
    <w:semiHidden/>
    <w:unhideWhenUsed/>
    <w:qFormat/>
    <w:pPr>
      <w:spacing w:before="200" w:after="120"/>
      <w:outlineLvl w:val="2"/>
    </w:pPr>
    <w:rPr>
      <w:b/>
      <w:bCs/>
      <w:color w:val="1F4E79"/>
      <w:sz w:val="24"/>
      <w:szCs w:val="24"/>
    </w:rPr>
  </w:style>
  <w:style w:type="paragraph" w:styleId="Heading4">
    <w:name w:val="heading 4"/>
    <w:basedOn w:val="Normal"/>
    <w:next w:val="Normal"/>
    <w:uiPriority w:val="9"/>
    <w:semiHidden/>
    <w:unhideWhenUsed/>
    <w:qFormat/>
    <w:pPr>
      <w:outlineLvl w:val="3"/>
    </w:pPr>
    <w:rPr>
      <w:i/>
      <w:iCs/>
      <w:color w:val="2E74B5"/>
    </w:rPr>
  </w:style>
  <w:style w:type="paragraph" w:styleId="Heading5">
    <w:name w:val="heading 5"/>
    <w:basedOn w:val="Normal"/>
    <w:next w:val="Normal"/>
    <w:uiPriority w:val="9"/>
    <w:semiHidden/>
    <w:unhideWhenUsed/>
    <w:qFormat/>
    <w:pPr>
      <w:outlineLvl w:val="4"/>
    </w:pPr>
    <w:rPr>
      <w:color w:val="2E74B5"/>
    </w:rPr>
  </w:style>
  <w:style w:type="paragraph" w:styleId="Heading6">
    <w:name w:val="heading 6"/>
    <w:basedOn w:val="Normal"/>
    <w:next w:val="Normal"/>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rPr>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4614</Words>
  <Characters>26898</Characters>
  <Application>Microsoft Office Word</Application>
  <DocSecurity>0</DocSecurity>
  <Lines>475</Lines>
  <Paragraphs>219</Paragraphs>
  <ScaleCrop>false</ScaleCrop>
  <Company/>
  <LinksUpToDate>false</LinksUpToDate>
  <CharactersWithSpaces>31330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 Burch</cp:lastModifiedBy>
  <cp:revision>2</cp:revision>
  <dcterms:created xsi:type="dcterms:W3CDTF">2026-05-06T13:22:00Z</dcterms:created>
  <dcterms:modified xsi:type="dcterms:W3CDTF">2026-05-06T13:22:00Z</dcterms:modified>
</cp:coreProperties>
</file>